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016" w:rsidRPr="00912016" w:rsidRDefault="00912016" w:rsidP="00912016">
      <w:pPr>
        <w:jc w:val="right"/>
        <w:rPr>
          <w:rFonts w:eastAsia="Times New Roman"/>
          <w:color w:val="000000"/>
        </w:rPr>
      </w:pPr>
      <w:r w:rsidRPr="00912016">
        <w:rPr>
          <w:rFonts w:eastAsia="Times New Roman"/>
          <w:color w:val="000000"/>
        </w:rPr>
        <w:t> Приложение № 1</w:t>
      </w:r>
    </w:p>
    <w:p w:rsidR="00912016" w:rsidRPr="00912016" w:rsidRDefault="00912016" w:rsidP="00912016">
      <w:pPr>
        <w:jc w:val="right"/>
        <w:rPr>
          <w:rFonts w:eastAsia="Times New Roman"/>
          <w:color w:val="000000"/>
        </w:rPr>
      </w:pPr>
      <w:r w:rsidRPr="00912016">
        <w:rPr>
          <w:rFonts w:eastAsia="Times New Roman"/>
          <w:color w:val="000000"/>
        </w:rPr>
        <w:t>к постановлению Администрации</w:t>
      </w:r>
    </w:p>
    <w:p w:rsidR="00912016" w:rsidRPr="00912016" w:rsidRDefault="00912016" w:rsidP="00912016">
      <w:pPr>
        <w:jc w:val="right"/>
        <w:rPr>
          <w:rFonts w:eastAsia="Times New Roman"/>
          <w:color w:val="000000"/>
        </w:rPr>
      </w:pPr>
      <w:r w:rsidRPr="00912016">
        <w:rPr>
          <w:rFonts w:eastAsia="Times New Roman"/>
          <w:color w:val="000000"/>
        </w:rPr>
        <w:t>Арамильского городского округа</w:t>
      </w:r>
    </w:p>
    <w:p w:rsidR="00912016" w:rsidRPr="00912016" w:rsidRDefault="00912016" w:rsidP="00912016">
      <w:pPr>
        <w:jc w:val="right"/>
        <w:rPr>
          <w:rFonts w:eastAsia="Times New Roman"/>
          <w:color w:val="000000"/>
        </w:rPr>
      </w:pPr>
      <w:r w:rsidRPr="00912016">
        <w:rPr>
          <w:rFonts w:eastAsia="Times New Roman"/>
          <w:color w:val="000000"/>
        </w:rPr>
        <w:t>от__________2018 года №_____</w:t>
      </w:r>
    </w:p>
    <w:p w:rsidR="00912016" w:rsidRPr="00912016" w:rsidRDefault="00912016" w:rsidP="00912016">
      <w:pPr>
        <w:jc w:val="right"/>
        <w:rPr>
          <w:rFonts w:eastAsia="Times New Roman"/>
          <w:color w:val="000000"/>
        </w:rPr>
      </w:pPr>
    </w:p>
    <w:p w:rsidR="00912016" w:rsidRPr="00912016" w:rsidRDefault="00912016" w:rsidP="00912016">
      <w:pPr>
        <w:jc w:val="center"/>
        <w:rPr>
          <w:rFonts w:eastAsia="Times New Roman"/>
          <w:b/>
          <w:color w:val="000000"/>
        </w:rPr>
      </w:pPr>
      <w:r w:rsidRPr="00912016">
        <w:rPr>
          <w:rFonts w:eastAsia="Times New Roman"/>
          <w:b/>
          <w:color w:val="000000"/>
        </w:rPr>
        <w:t>ОТЧЕТ</w:t>
      </w:r>
    </w:p>
    <w:p w:rsidR="00912016" w:rsidRPr="00912016" w:rsidRDefault="00912016" w:rsidP="00912016">
      <w:pPr>
        <w:jc w:val="center"/>
        <w:rPr>
          <w:rFonts w:eastAsia="Times New Roman"/>
          <w:b/>
          <w:color w:val="000000"/>
        </w:rPr>
      </w:pPr>
      <w:r w:rsidRPr="00912016">
        <w:rPr>
          <w:rFonts w:eastAsia="Times New Roman"/>
          <w:b/>
          <w:color w:val="000000"/>
        </w:rPr>
        <w:t xml:space="preserve">об исполнении бюджета Арамильского городского округа </w:t>
      </w:r>
    </w:p>
    <w:p w:rsidR="00912016" w:rsidRPr="00912016" w:rsidRDefault="00912016" w:rsidP="00912016">
      <w:pPr>
        <w:jc w:val="center"/>
        <w:rPr>
          <w:rFonts w:eastAsia="Times New Roman"/>
          <w:b/>
          <w:color w:val="000000"/>
        </w:rPr>
      </w:pPr>
      <w:r w:rsidRPr="00912016">
        <w:rPr>
          <w:rFonts w:eastAsia="Times New Roman"/>
          <w:b/>
          <w:color w:val="000000"/>
        </w:rPr>
        <w:t xml:space="preserve">за </w:t>
      </w:r>
      <w:r w:rsidR="001F54B8">
        <w:rPr>
          <w:rFonts w:eastAsia="Times New Roman"/>
          <w:b/>
          <w:color w:val="000000"/>
        </w:rPr>
        <w:t>9</w:t>
      </w:r>
      <w:r w:rsidRPr="00912016">
        <w:rPr>
          <w:rFonts w:eastAsia="Times New Roman"/>
          <w:b/>
          <w:color w:val="000000"/>
        </w:rPr>
        <w:t xml:space="preserve"> </w:t>
      </w:r>
      <w:r w:rsidR="001F54B8">
        <w:rPr>
          <w:rFonts w:eastAsia="Times New Roman"/>
          <w:b/>
          <w:color w:val="000000"/>
        </w:rPr>
        <w:t>месяцев</w:t>
      </w:r>
      <w:r w:rsidRPr="00912016">
        <w:rPr>
          <w:rFonts w:eastAsia="Times New Roman"/>
          <w:b/>
          <w:color w:val="000000"/>
        </w:rPr>
        <w:t xml:space="preserve"> 2018 года</w:t>
      </w:r>
    </w:p>
    <w:p w:rsidR="00912016" w:rsidRPr="00912016" w:rsidRDefault="00912016">
      <w:pPr>
        <w:pStyle w:val="cs7fb5c607"/>
        <w:rPr>
          <w:rStyle w:val="cs1b16eeb51"/>
          <w:rFonts w:ascii="Times New Roman" w:hAnsi="Times New Roman" w:cs="Times New Roman"/>
          <w:sz w:val="24"/>
          <w:szCs w:val="24"/>
        </w:rPr>
      </w:pPr>
    </w:p>
    <w:p w:rsidR="001070F3" w:rsidRPr="00912016" w:rsidRDefault="004E0F4D">
      <w:pPr>
        <w:pStyle w:val="cs7fb5c607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Предоставление квартальной бюджетной отчетности осуществляется в соответствии с требованиями Инструкции о порядке составления и предоставления годовой, квартальной и месячной бюджетной отчетности об исполнении бюджетов бюджетной системы Российской Федерации, утвержденной </w:t>
      </w:r>
      <w:r w:rsidRPr="00030C1F">
        <w:rPr>
          <w:rStyle w:val="a5"/>
          <w:b w:val="0"/>
          <w:i w:val="0"/>
          <w:color w:val="auto"/>
        </w:rPr>
        <w:t>приказом</w:t>
      </w:r>
      <w:r w:rsidRPr="00030C1F">
        <w:rPr>
          <w:rStyle w:val="cs1b16eeb5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Министерства финансов Российской Федерации от 25 декабря 2010 года № 191н, Инструкции о порядке составления, предоставления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Федерации от 25.03.2011 № 33н.</w:t>
      </w:r>
    </w:p>
    <w:p w:rsidR="001070F3" w:rsidRPr="00912016" w:rsidRDefault="004E0F4D">
      <w:pPr>
        <w:pStyle w:val="csfc41765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1. Организационная структура.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2018 года в организационной структуре произошли следующие изменения: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Согласно Постановления Комитета по управлению муниципальным имуществом Арамильского городского округа от 30 октября 2017 года № 59 «О создании Муниципального автономного учреждения Центр развития физической культуры, спорта и молодежной политики «Созвездие» путем изменения типа существующего Муниципального бюджетного учреждения Центр развития физической культуры, спорта и молодежной политики «Созвездие» с 01 января 2018 года у МБУ Центр развития физической культуры, спорта и молодежной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политики «Созвездие» изменен тип учреждения на МАУ Центр развития физической культуры, спорта и молодежной политики «Созвездие».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2. Решением Думы Арамильского городского округа от 12.10.2017 года № 24/1 «Об утверждении структуры Администрации Арамильского городского округа» были внесены изменения в структуру Администрации Арамильского городского округа с 01.01.2018 г.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3. На основании постановления Главы Арамильского городского округа от 26.10.2017 г. № 637 «О проведении мероприятий по сокращению штата Администрации Арамильского городского округа» с 01.01.2018 г. были сокращены следующие ставки: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главный специалист Юридического отдела Администрации Арамильского городского округа – 1 ставка;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начальник Отдела жилищно-коммунального хозяйства Администрации Арамильского городского округа – 1 ставка;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начальник Подразделения по осуществлению начисления субсидий и компенсации расходов по оплате жилого помещения и коммунальных услуг при Администрации Арамильского городского округа – 1 ставка;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ведущий специалист Подразделения по осуществлению начисления субсидий и компенсации расходов по оплате жилого помещения и коммунальных услуг при Администрации Арамильского городского округа – 3 ставки;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ведущий специалист Финансового отдела Администрации Арамильского городского округа – 3 ставки.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4. Распоряжением Главы Арамильского городского округа от 29.12.2017 г. № 54 «О внесении изменений в распоряжение Главы Арамильского городского округа от 27.09.2013 г. № 52 «Об утверждении структуры и штатной численности Финансового отдела Администрации Арамильского городского округа» внесены изменения в структуру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и лимит численности Финансового отдела Администрации Арамильского городского округа.</w:t>
      </w:r>
    </w:p>
    <w:p w:rsidR="001070F3" w:rsidRPr="00912016" w:rsidRDefault="004E0F4D">
      <w:pPr>
        <w:pStyle w:val="cs7fb5c607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2. Результаты деятельности.</w:t>
      </w:r>
    </w:p>
    <w:p w:rsidR="001070F3" w:rsidRPr="00912016" w:rsidRDefault="004E0F4D">
      <w:pPr>
        <w:pStyle w:val="csfc41765"/>
      </w:pPr>
      <w:r w:rsidRPr="00912016">
        <w:rPr>
          <w:rStyle w:val="cs8926e061"/>
          <w:rFonts w:ascii="Times New Roman" w:hAnsi="Times New Roman" w:cs="Times New Roman"/>
        </w:rPr>
        <w:t>По данным квартального отчета профицит бюджета Арамильского городского округа по состоянию на 01.10.2018 года составил 7 022,5 тыс. рублей (сумма доходов 569 179,1 тыс. рублей, сумма расходов 562 156,6 тыс. рублей).</w:t>
      </w:r>
    </w:p>
    <w:p w:rsidR="001070F3" w:rsidRPr="00912016" w:rsidRDefault="004E0F4D">
      <w:pPr>
        <w:pStyle w:val="csfc41765"/>
      </w:pPr>
      <w:r w:rsidRPr="00912016">
        <w:rPr>
          <w:rStyle w:val="cs5bec2c281"/>
          <w:rFonts w:ascii="Times New Roman" w:hAnsi="Times New Roman" w:cs="Times New Roman"/>
        </w:rPr>
        <w:t>3. Анализ отчета об исполнении бюджета.</w:t>
      </w:r>
    </w:p>
    <w:p w:rsidR="001070F3" w:rsidRPr="00912016" w:rsidRDefault="004E0F4D">
      <w:pPr>
        <w:pStyle w:val="csfc41765"/>
      </w:pPr>
      <w:r w:rsidRPr="00912016">
        <w:rPr>
          <w:rStyle w:val="cs8926e061"/>
          <w:rFonts w:ascii="Times New Roman" w:hAnsi="Times New Roman" w:cs="Times New Roman"/>
        </w:rPr>
        <w:t>План по доходам за 9 месяцев 2018 года выполнен на 76 % (план 748423,8 тыс. рублей), исполнение составило 569179,1 тыс. рублей.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Основными доходными источниками налоговых и неналоговых поступлений в отчетном периоде явились: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1. Налог на доходы физических лиц- 46,5% от суммы налоговых и неналоговых доходов местного бюджета;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2. Земельный налог – 15,3%;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3. Доходы от продажи земельных участков, государственная собственность на которые не разграничена и которые расположены в границах городских округов – 10,9%;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4.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– 6,4%;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5.</w:t>
      </w:r>
      <w:r w:rsidRPr="00912016">
        <w:rPr>
          <w:rStyle w:val="cs9d249ccb1"/>
        </w:rPr>
        <w:t xml:space="preserve">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Единый налог на вмененный доход для отдельных видов деятельности – 6,5%.</w:t>
      </w:r>
    </w:p>
    <w:p w:rsidR="001070F3" w:rsidRPr="00912016" w:rsidRDefault="004E0F4D">
      <w:pPr>
        <w:pStyle w:val="csfc41765"/>
      </w:pPr>
      <w:r w:rsidRPr="00912016">
        <w:rPr>
          <w:rStyle w:val="cs8926e061"/>
          <w:rFonts w:ascii="Times New Roman" w:hAnsi="Times New Roman" w:cs="Times New Roman"/>
        </w:rPr>
        <w:t>Расходная часть бюджета исполнена на 73,2 % (при плане 768454,1 тыс. рублей, фактическое исполнение составило 562156,6 тыс. рублей).</w:t>
      </w:r>
    </w:p>
    <w:p w:rsidR="001070F3" w:rsidRDefault="004E0F4D">
      <w:pPr>
        <w:pStyle w:val="csc38c7789"/>
        <w:rPr>
          <w:rStyle w:val="csdc4a801"/>
          <w:rFonts w:ascii="Times New Roman" w:hAnsi="Times New Roman" w:cs="Times New Roman"/>
          <w:sz w:val="24"/>
          <w:szCs w:val="24"/>
        </w:rPr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4. Анализ показателей финансовой отчетности.</w:t>
      </w:r>
    </w:p>
    <w:p w:rsidR="001F54B8" w:rsidRPr="009B0151" w:rsidRDefault="001F54B8" w:rsidP="001F54B8">
      <w:pPr>
        <w:ind w:firstLine="700"/>
      </w:pPr>
      <w:r>
        <w:rPr>
          <w:b/>
          <w:bCs/>
          <w:color w:val="000000"/>
        </w:rPr>
        <w:t>4.1. Доходы бюджета (Приложение № 1)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Доходы бюджета Арамильского городского округа за 9 месяцев 2018 года (с учетом безвозмездных перечислений) составили 569179,1 тыс. рублей. Годовой план исполнен на 76%. Рост к уровню прошлого года на 27 % или на 119350,6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Налоговые и неналоговые доходы местного бюджета составили 186609,7 тыс. рублей. Годовой план исполнен на 74%, в т. ч.: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по налоговым доходам – 145141,6 тыс. рублей или 69 %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по неналоговым доходам – 41468,1 тыс. рублей или 93% к уточненному плану.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Рост налоговых и неналоговых доходов к уровню прошлого года на 7% или на 11790,4 тыс. рублей. </w:t>
      </w:r>
    </w:p>
    <w:p w:rsidR="001070F3" w:rsidRPr="00912016" w:rsidRDefault="004E0F4D">
      <w:pPr>
        <w:pStyle w:val="csfc41765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Безвозмездные поступления составили 382536,4 тыс. рублей или 77 % от плановых назначений (план утвержден в размере 495016,8 тыс. рублей), в том числе безвозмездные поступления от других бюджетов бюджетной системы Российской Федерации – 384700,8 тыс. рублей или 78% от плановых назначений, возврат остатков субсидий, субвенций и иных межбюджетных трансфертов, имеющих целевое назначение, прошлых лет – 2 164,4 тыс. рублей.</w:t>
      </w:r>
      <w:proofErr w:type="gramEnd"/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Налог на доходы физических лиц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Налог на доходы физических лиц является одним из основных налогов за счет, которого формируется бюджет Арамильского городского округа. </w:t>
      </w:r>
    </w:p>
    <w:p w:rsidR="001070F3" w:rsidRPr="00912016" w:rsidRDefault="004E0F4D">
      <w:pPr>
        <w:pStyle w:val="csfc41765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В соответствии с пунктом 2 статьи 61.2 БК РФ в бюджет городского округа зачисляется налог на доходы физических лиц по нормативу 15 процентов, законом Свердловской области от 26.12.2011 № 128-ОЗ (ред. от 12.10.2015) «Об установлении единых нормативов отчислений в бюджеты муниципальных образований, расположенных на территории Свердловской области, от налога на доходы физических лиц и налогов, предусмотренных упрощенной системой налогообложения, подлежащих зачислению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в областной бюджет» установлен единый норматив отчислений в размере 1 процента, законом Свердловской области от 07.12.2017 N 121-ОЗ «Об областном бюджете на 2018 год и плановый период 2019 и 2020 годов» дополнительный норматив отчисления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определен в размере 14 процентов. Итого, суммарный норматив отчислений в бюджет Арамильского городского округа от данного налога составляет 30 процентов (в 2016 году – 35 процента).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План поступления налога на доходы физических лиц на 2018 год утвержден в размере 118666 тыс. рублей. Исполнение по данному налогу за отчетный период составило 86726,1 тыс. рублей (73 % к годовому плану).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Снижение поступлений налога на доходы физических лиц в местный бюджет по сравнению с аналогичным периодом 2017 года на 1% или на 878,6 тыс. руб., что обусловлено снижением дополнительного норматива отчислений по данному налогу. При этом наблюдается рост поступлений в консолидированный бюджет области с территории Арамильского городского округа на 15%, обусловленный: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ростом фонда оплаты труда (по данным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Госстатистики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фонд начисленной заработной платы за январь – июнь 2018 года к соответствующему периоду 2017 года составил 118,5 %, среднесписочная численность работников (без внешних совместителей) – 112 %; среднемесячная заработная плата одного работника составляет 39 894,1 рублей, что выше аналогичного периода прошлого года на 7,2 %);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дополнительным поступлением сре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азмере 2 230,2 тыс. рублей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по результатам выездных и камеральных налоговых проверок. </w:t>
      </w:r>
    </w:p>
    <w:p w:rsidR="001070F3" w:rsidRPr="00912016" w:rsidRDefault="004E0F4D">
      <w:pPr>
        <w:pStyle w:val="csfc41765"/>
      </w:pPr>
      <w:r w:rsidRPr="00912016">
        <w:rPr>
          <w:rStyle w:val="cs93f6f0eb1"/>
          <w:rFonts w:ascii="Times New Roman" w:hAnsi="Times New Roman" w:cs="Times New Roman"/>
          <w:sz w:val="24"/>
          <w:szCs w:val="24"/>
        </w:rPr>
        <w:t>Недоимка по налогу на доходы физических лиц, зачисляемому в местный бюджет, по состоянию на 01.10.2018 г. составила 2465,0 тыс. рублей. По сравнению с началом 2018 года недоимка увеличилась на 522 тыс. рублей (на 27 %), по сравнению с началом 2017 года – увеличилась на 79%.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Акцизы на нефтепродукты</w:t>
      </w:r>
    </w:p>
    <w:p w:rsidR="001070F3" w:rsidRPr="00912016" w:rsidRDefault="004E0F4D">
      <w:pPr>
        <w:pStyle w:val="cs3266721a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В соответствии с пунктом 3.1 статьи 58 Бюджетного кодекса, законом Свердловской области от 07.12.2017 № 121-ОЗ «Об областном бюджете на 2018 год и плановый период 2019 и 2020 годов» на 2018 год установлен дифференцированный норматив отчислений в местный бюджет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) двигателей, производимые на территории Российской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Федерации в размере 0,03333 процента (в 2016 году - 0,03381 процента).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Доходы от уплаты акцизов на нефтепродукты за отчетный период составили 2757,5 тыс. рублей или 79 % к плану. План утвержден в размере 3507,0 тыс. рублей. По сравнению с аналогичным периодом прошлого года поступления возросли на 157,8 тыс. рублей или на 6%,</w:t>
      </w:r>
      <w:r w:rsidRPr="00912016">
        <w:rPr>
          <w:rStyle w:val="cs9d249ccb1"/>
        </w:rPr>
        <w:t xml:space="preserve">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что связано с увеличением ставок с 1 января 2018 года на дизельное топливо.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Налог, взимаемый в связи с применением упрощенной системы налогообложения</w:t>
      </w:r>
    </w:p>
    <w:p w:rsidR="001070F3" w:rsidRPr="00912016" w:rsidRDefault="004E0F4D">
      <w:pPr>
        <w:pStyle w:val="cs3266721a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В соответствии с законом Свердловской области от 26.12.2011 № 128-ОЗ (ред. от 12.10.2015) «Об установлении единых нормативов отчислений в бюджеты муниципальных образований, расположенных на территории Свердловской области, от налога на доходы физических лиц и налогов, предусмотренных упрощенной системой налогообложения, подлежащих зачислению в областной бюджет» с 1 января 2016 года установлен единый норматив отчислений в местный бюджет в размере 15 процентов от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налога,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взимаемый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в связи с применением упрощенной системы налогообложения с территории.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За отчетный период поступления налога составили 8644,7 тыс. рублей или 87 % от уточненного плана (план утвержден в размере 9943,0 тыс. рублей). Рост поступлений по сравнению с прошлым годом на 41% или на 2535,3 тыс. рублей, в первую очередь обусловлен ростом числа налогоплательщиков на 27,9%. </w:t>
      </w:r>
    </w:p>
    <w:p w:rsidR="001070F3" w:rsidRPr="00912016" w:rsidRDefault="004E0F4D">
      <w:pPr>
        <w:pStyle w:val="cs3266721a"/>
      </w:pPr>
      <w:r w:rsidRPr="00912016">
        <w:rPr>
          <w:rStyle w:val="cs93f6f0eb1"/>
          <w:rFonts w:ascii="Times New Roman" w:hAnsi="Times New Roman" w:cs="Times New Roman"/>
          <w:sz w:val="24"/>
          <w:szCs w:val="24"/>
        </w:rPr>
        <w:t xml:space="preserve">Недоимка </w:t>
      </w:r>
      <w:proofErr w:type="gramStart"/>
      <w:r w:rsidRPr="00912016">
        <w:rPr>
          <w:rStyle w:val="cs93f6f0eb1"/>
          <w:rFonts w:ascii="Times New Roman" w:hAnsi="Times New Roman" w:cs="Times New Roman"/>
          <w:sz w:val="24"/>
          <w:szCs w:val="24"/>
        </w:rPr>
        <w:t>в</w:t>
      </w:r>
      <w:proofErr w:type="gramEnd"/>
      <w:r w:rsidRPr="00912016">
        <w:rPr>
          <w:rStyle w:val="cs93f6f0eb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2016">
        <w:rPr>
          <w:rStyle w:val="cs93f6f0eb1"/>
          <w:rFonts w:ascii="Times New Roman" w:hAnsi="Times New Roman" w:cs="Times New Roman"/>
          <w:sz w:val="24"/>
          <w:szCs w:val="24"/>
        </w:rPr>
        <w:t>местный</w:t>
      </w:r>
      <w:proofErr w:type="gramEnd"/>
      <w:r w:rsidRPr="00912016">
        <w:rPr>
          <w:rStyle w:val="cs93f6f0eb1"/>
          <w:rFonts w:ascii="Times New Roman" w:hAnsi="Times New Roman" w:cs="Times New Roman"/>
          <w:sz w:val="24"/>
          <w:szCs w:val="24"/>
        </w:rPr>
        <w:t xml:space="preserve"> бюджетом по налогу, взимаемому в связи с применением упрощенной системы налогообложения, на 01.10.2018 г. составила 179,0 тыс. рублей. Снижение по сравнению с началом 2018 года на 123 тыс. рублей (на 41 %), по сравнению с началом 2017 года также наблюдается рост недоимки на 36%.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lastRenderedPageBreak/>
        <w:t>Единый налог на вмененный доход для отдельных видов деятельности</w:t>
      </w:r>
    </w:p>
    <w:p w:rsidR="001070F3" w:rsidRPr="00912016" w:rsidRDefault="004E0F4D">
      <w:pPr>
        <w:pStyle w:val="cs3266721a"/>
      </w:pPr>
      <w:r w:rsidRPr="00912016">
        <w:rPr>
          <w:rStyle w:val="cs93f6f0eb1"/>
          <w:rFonts w:ascii="Times New Roman" w:hAnsi="Times New Roman" w:cs="Times New Roman"/>
          <w:sz w:val="24"/>
          <w:szCs w:val="24"/>
        </w:rPr>
        <w:t>За 9 месяцев 2018 года поступления единого налога на вмененный доход составили 12133,8 тыс. рублей. Годовой план утвержден в размере 17 867,0 тыс. рублей, исполнение составило 68%. Снижение к уровню прошлого года на 8 % или на 993,9 тыс. рублей, что обусловлено сокращением количества налогоплательщиков, применяющих данный вид системы налогообложения.</w:t>
      </w:r>
    </w:p>
    <w:p w:rsidR="001070F3" w:rsidRPr="00912016" w:rsidRDefault="004E0F4D">
      <w:pPr>
        <w:pStyle w:val="cs3266721a"/>
      </w:pPr>
      <w:r w:rsidRPr="00912016">
        <w:rPr>
          <w:rStyle w:val="cs93f6f0eb1"/>
          <w:rFonts w:ascii="Times New Roman" w:hAnsi="Times New Roman" w:cs="Times New Roman"/>
          <w:sz w:val="24"/>
          <w:szCs w:val="24"/>
        </w:rPr>
        <w:t>Недоимка по единому налогу на вмененный доход для отдельных видов деятельности на 01.10.2018 года отсутствует. Снижение по сравнению с началом 2018 года на 1578 тыс. рублей (на 64 %), также наблюдается снижение недоимки по сравнению с началом 2017 года на 53%.</w:t>
      </w:r>
    </w:p>
    <w:p w:rsidR="001070F3" w:rsidRPr="00912016" w:rsidRDefault="004E0F4D">
      <w:pPr>
        <w:pStyle w:val="csc67cfa75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Единый сельскохозяйственный налог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За отчетный период поступления составили 6,2 тыс. рублей или 103% от утвержденных плановых назначений. Плановые назначения на 2018 год утверждены в размере 6,0 тыс. рублей.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Недоимка на 01.10.2018 г. по данному источнику отсутствует.</w:t>
      </w:r>
    </w:p>
    <w:p w:rsidR="001070F3" w:rsidRPr="00912016" w:rsidRDefault="004E0F4D">
      <w:pPr>
        <w:pStyle w:val="csc67cfa75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Налог, взимаемый в связи с применением патентной системы налогообложения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Поступления по данному источнику составили 928,0 тыс. рублей или 52 % к годовому плану. Годовой план утвержден в размере 1 794,0 тыс. рублей. Рост поступлений к уровню прошлого года на 10% или на 84,1 тыс. рублей, что обусловлено увеличением числа приобретенных патентов с более высокой стоимостью. За отчетный период было выдано 108 патентов (из них 21 налогоплательщиков воспользовались правом применения нулевой ставки), что на 1 патент меньше, чем в аналогичном периоде прошлого года.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Недоимка по налогу на 01.10.2018 г. составила 46,0 тыс. рублей. Снижение по сравнению с началом 2018 года на 258,0 тыс. рублей (на 85%), по сравнению с началом 2017 года – рост недоимки на 34,0 тыс. рублей.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Налог на имущество физических лиц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Годовой план по налогу на имущество физических лиц на 2018 год утвержден в размере 8 985,0 тыс. рублей. Исполнение налога за отчетный период составило 3868,0 тыс. рублей или 43 % от плана. Низкое исполнение связано со сроком уплаты налога - налог на имущество физических лиц уплачивается не позднее 1 декабря года, следующего за годом, за который исчислен налог.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Поступления ожидаются в 4 квартале 2018 года.</w:t>
      </w:r>
    </w:p>
    <w:p w:rsidR="001070F3" w:rsidRPr="00912016" w:rsidRDefault="004E0F4D">
      <w:pPr>
        <w:pStyle w:val="csfc41765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Задолженность по налогу перед местным бюджетом согласно отчетности, предоставляемой Управлением Федеральной налоговой службы Свердловской области по ф. 0503169 «Сведения по дебиторской и кредиторской задолженности»: совокупная задолженность по налогу на имущество физических лиц на 01.10.2018 составляет 6360,8,0 тыс. рублей (снижение по сравнению с началом года на 43% или на 4827,4 тыс. рублей), в т. ч. недоимка – 5175,0 тыс. рублей (снижение по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сравнению с началом 2018 года на 47% или на 4597,0 тыс. рублей, по сравнению с началом 2017 года – снижение на 47%).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Снижение задолженности связано со списанием налоговой задолженности, в соответствии с Федеральным законом от 28.12.2017 № 436-ФЗ «О внесении изменений в части первую и вторую Налогового кодекса Российской Федерации и отдельные законодательные акты Российской Федерации», а также гашением задолженности физическими лицами.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Земельный налог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План поступлений по земельному налогу на 2018 год утвержден в размере 46 629,0 тыс. рублей, исполнен на 61%, исполнение составляет 28594,1 тыс. рублей, в т. ч.: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земельный налог с организаций, обладающих земельным участком, расположенным в границах городских округов, исполнен на 79 % и составляет 18571,1 тыс. рублей;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- земельный налог с физических лиц, обладающих земельным участком, расположенным в границах городских округов, исполнен на 43 % и составил 10023,0 тыс. рублей.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Низкое исполнение плана обусловлено сроком уплаты земельного налога физическими лицами – налог уплачивается не позднее 1 декабря года, следующего за годом, за который исчислен налог. Поступления ожидаются в 4 квартале 2018 года.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Рост к уровню 2017 года на 3882,4 тыс. рублей или на 16 % обусловлен уплатой налога физическими лицами раньше установленного срока. </w:t>
      </w:r>
    </w:p>
    <w:p w:rsidR="001070F3" w:rsidRPr="00912016" w:rsidRDefault="004E0F4D">
      <w:pPr>
        <w:pStyle w:val="cs3266721a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Задолженность по земельному налогу, согласно отчетности, предоставляемой Управлением Федеральной налоговой службы Свердловской области по ф. 0503169 Сведения по дебиторской и кредиторской задолженности, на 01.10.2018 составляет 33748,3 тыс. рублей (снижение по сравнению с началом года на 22%), в т. ч. недоимка -21953,0 тыс. рублей (по сравнению с началом 2018 года снижение на 30% или на 9505,0 тыс. рублей, по сравнению с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началом 2017 года снижение на 10%). Недоимка по земельному налогу с организаций на 01.10.2018 г. составила 10757,0 тыс. рублей (рост по сравнению с началом 2018 г. на 23%), с физических лиц – 11196,0 тыс. рублей (снижение по сравнению с началом 2018 года на 51%).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Основная доля задолженности приходится на физических лиц. Снижение задолженности (недоимки) связано со списанием налоговой задолженности, в соответствии с Федеральным законом от 28.12.2017 № 436-ФЗ «О внесении изменений в части первую и вторую Налогового кодекса Российской Федерации и отдельные законодательные акты Российской Федерации».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Государственная пошлина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План по государственной пошлине за 2018 год установлен в размере 1485,0 тыс. рублей. Поступления по данному источнику за отчетный период составили 1 1483,2 тыс. рублей или 99,9 % к плану. 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К уровню прошлого года наблюдается рост поступлений на 65 % или на 584,0 тыс. рублей. Высокое исполнение плана и рост, по сравнению с прошлым годом, обусловлен увеличением числа выданных разрешений на установку рекламных конструкций, а также ростом поступлений госпошлины по делам, рассматриваемым в судах общей юрисдикции.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НЕНАЛОГОВЫЕ ДОХОДЫ</w:t>
      </w:r>
    </w:p>
    <w:p w:rsidR="001070F3" w:rsidRPr="00912016" w:rsidRDefault="004E0F4D">
      <w:pPr>
        <w:pStyle w:val="cs88b29851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неналоговых доходов, поступающих в бюджет городского округа за 9 месяцев 2018 году в общей сумме доходов бюджета составила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22,2 %. Прогнозные значения исполнены на 93%.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Доходы от использования имущества, находящегося в государственной и муниципальной собственности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в бюджет городского округа поступили доходы от использования имущества, находящегося в государственной и муниципальной собственности, в размере 14218,8 тыс. рублей, годовой план исполнен на 77 % (годовой план уточнен в размере 18376,0 тыс. рублей).</w:t>
      </w:r>
    </w:p>
    <w:p w:rsidR="001070F3" w:rsidRPr="00912016" w:rsidRDefault="004E0F4D">
      <w:pPr>
        <w:pStyle w:val="cs3266721a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Основным источником доходов местного бюджета от использования имущества, находящегося в муниципальной и государственной собственности, являются поступления,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– 12035,2 тыс. рублей или 79 % от плана (план утвержден в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размере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15268,0 тыс. рублей).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По сравнению с аналогичным периодом 2017 года поступления выросли на 2 416,6 тыс. рублей или на 25%.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В составе доходов от аренды в текущем году отражены средства, поступившие в качестве оплаты за право заключения договора о развитии застроенной территории по результатам аукциона, в сумме 1 307,4 тыс. рублей. Фактическое поступление арендной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платы за 9 месяцев 2018 года составило 10727,8 тыс. рублей, что составляет 70% от плана. По сравнению с аналогичным периодом 2017 года поступления арендных платежей выросли на 1 109,2 тыс. рублей (на 12%).</w:t>
      </w:r>
    </w:p>
    <w:p w:rsidR="001070F3" w:rsidRPr="00912016" w:rsidRDefault="004E0F4D">
      <w:pPr>
        <w:pStyle w:val="cs3266721a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Выполнение плана и рост поступлений по сравнению с соответствующим периодом прошлого года обусловлено проведением в отчетном периоде 7 аукционов на право заключения договоров - аренды земельных участков и поступлением по результатам аукционов, в качестве единовременного внесения годовой платы, в сумме 5442,5 тыс. рублей, а также увеличением в 4 раза окончательной цены контракта от первоначальной по двум аукционам. </w:t>
      </w:r>
      <w:proofErr w:type="gramEnd"/>
    </w:p>
    <w:p w:rsidR="001070F3" w:rsidRPr="00912016" w:rsidRDefault="004E0F4D">
      <w:pPr>
        <w:pStyle w:val="cs3266721a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Задолженность по поступлениям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на 01.10.2018 года составила 15575,6 тыс. рублей, в т. ч. недоимка по арендной плате – 9086,1 тыс. рублей, пени за несвоевременное осуществление платежей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– 6489,5 тыс. рублей. Сумма задолженности за 9 месяцев 2018 года выросла на 2977 тыс. рублей, то есть рост составил 23,6 %, причем недоимка по основному долгу выросла на 1093,1 тыс. рублей (на 13,7%), а задолженность по пени выросла на 1883,9 тыс. рублей (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на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40,9%).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С должниками ведется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-исковая работа, в результате чего в досудебном порядке погашена недоимка в размере 396,9 тыс. рублей. В отношении ряда организаций ведется исполнительное производство, в процессе конкурсного производства заключено одно соглашение о реструктуризации долга срокам на 2 года, в отношении арендаторо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в-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должников подано 6 исков и 5 договоров расторгнуто.</w:t>
      </w:r>
    </w:p>
    <w:p w:rsidR="001070F3" w:rsidRPr="00912016" w:rsidRDefault="004E0F4D">
      <w:pPr>
        <w:pStyle w:val="cs3266721a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за отчетный период составили 77,7 тыс. рублей или 78 % к плану (план утвержден в размере 100,0 тыс. рублей).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По сравнению с аналогичным периодом прошлого года поступления выросли на 4% или на 3,0 тыс. рублей. В текущем году поступления средств по договору аренды осуществляются в соответствии с установленным графиком.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 за 9 месяцев 2018 года составили 40,5 тыс. рублей или 7% от прогнозных назначений. Прогнозные назначения утверждены в размере 555,0 тыс. рублей. В аналогичном периоде 2017 года подобных поступлений не было.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Низкое выполнение плановых показателей обусловлено нарушением графика платежей по договорам аренды транспортных средств, заключенным с ООО «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Чистота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.Р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У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» и ООО «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Рустал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».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Задолженность по данному источнику на 01.10.2018 составляет 420,7 тыс. рублей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.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в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том числе: недоимка по оплате стоимости земельного участка – 407,4 тыс. рублей, пени за несвоевременное осуществление платежей – 13,2 тыс. рублей.</w:t>
      </w:r>
      <w:r w:rsidRPr="00912016">
        <w:rPr>
          <w:rStyle w:val="cs9d249ccb1"/>
        </w:rPr>
        <w:t xml:space="preserve">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В настоящее время с должником ведется судебное разбирательство.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Доходы от сдачи в аренду имущества, составляющего казну городских округов (за исключением земельных участков) составили 1316,7 тыс. рублей или 82 % к плану (годовой план утвержден в размере 1 598,0 тыс. рублей), в том числе: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доходы от сдачи в аренду объектов нежилого фонда городских округов, находящихся в казне городских округов и не являющихся памятниками истории, культуры и градостроительства составляют 779,1 тыс. рублей. Поступление средств по заключенным договорам осуществляется в соответствии с установленными графиками. Снижение к аналогичному периоду прошлого года на 34 % или на 399,2 тыс. рублей, что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обусловлено с расторжением трех договоров по инициативе арендаторов и выкупом в мае 2018 года одного арендуемого помещения;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плата за пользование жилыми помещениями (плата за наём) муниципального жилищного фонда, находящегося в казне городских округов – 537,6 тыс. рублей. Рост к уровню прошлого года на 33 % или на 133,3 тыс. рублей, что связано с повышением с 01.01.2018 года размера платы за наем жилых помещений.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В отчетном периоде поступила 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 в размере 0,06 тыс. рублей. Данные поступления не запланированы. 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за отчетный период составили 748,7 тыс. рублей (оплата по договорам на возведение и эксплуатацию рекламных конструкций) или 88 % к плану. План утвержден в размере 855,0 тыс. рублей.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Рост к уровню прошлого года на 91,6 тыс. рублей или на 114 %. Высокое выполнение плановых показателей и рост поступлений по сравнению с соответствующим периодом 2017 года обусловлен проведением в июне текущего года конкурса на право заключения трех договоров на возведение и эксплуатацию рекламных конструкций, по которым единовременно поступила годовая плата в размере 272,6 тыс. рублей.</w:t>
      </w:r>
      <w:proofErr w:type="gramEnd"/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Плата за негативное воздействие на окружающую среду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Плата за негативное воздействие на окружающую среду в отчетном периоде составила 519,5 тыс. рублей или 73% к плану (годовой план утвержден в размере 709,0 тыс. рублей). По сравнению с аналогичным периодом 2017 года поступления снизились на 463,3 тыс. рублей или на 47%. Снижение по сравнению с аналогичным периодом прошлого года связано с поступлением в 1 квартале 2017 года от субъектов малого бизнеса платы за НВОС за 2016 год.</w:t>
      </w:r>
    </w:p>
    <w:p w:rsidR="001070F3" w:rsidRPr="00912016" w:rsidRDefault="004E0F4D">
      <w:pPr>
        <w:pStyle w:val="csc67cfa75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Доходы от оказания платных услуг (работ) и компенсации затрат государства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План по прочим доходам от оказания платных услуг (работ) получателями средств бюджетов городских округов утвержден в размере 626,0 тыс. рублей. В отчетном периоде поступления составили 662,6 тыс. руб. или 106% от плана. По сравнению с аналогичным периодом прошлого года поступления выросли на 54% или 232,8 тыс. рублей. Перевыполнение плана и рост по сравнению с прошлым годом связан с увеличением детей, находящихся в лагерях дневного пребывания и загородных лагерях, а также уменьшением количества граждан льготных категорий.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В отчетном периоде поступления прочих доходов от компенсации затрат бюджетов городских округов составили 627,3 тыс. рублей, план исполнен на 109% (план утвержден в размере 578,0 тыс. рублей). Данные поступления являются возвратами дебиторской задолженности прошлых лет и носят не системный характер.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Доходы от продажи материальных и нематериальных активов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Доходы от продажи материальных и нематериальных активов исполнены на 5 % к годовому плану и составили 24291,3 тыс. рублей (план составляет 23098,0 тыс. рублей), в том числе:</w:t>
      </w:r>
    </w:p>
    <w:p w:rsidR="001070F3" w:rsidRPr="00912016" w:rsidRDefault="004E0F4D">
      <w:pPr>
        <w:pStyle w:val="cs3266721a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доходы от реализации объектов нежилого фонда,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 составили 3875,7 тыс. рублей или 78% к годовому плану (план утвержден в размере 4975,0 тыс. рублей).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По сравнению с аналогичным периодом прошлого года рост поступлений на 151% или на 2333,3 тыс. рублей. Рост поступлений обусловлен, во-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 xml:space="preserve">первых, продажей в 1 полугодии нежилого помещения и здания, во-вторых, заключением одного договора купли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–п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родажи на условиях рассрочки и, в- третьих, поступлением средств по договорам купли-продажи зеленых насаждений;</w:t>
      </w:r>
    </w:p>
    <w:p w:rsidR="001070F3" w:rsidRPr="00912016" w:rsidRDefault="004E0F4D">
      <w:pPr>
        <w:pStyle w:val="cs3266721a"/>
      </w:pPr>
      <w:r w:rsidRPr="00912016">
        <w:rPr>
          <w:rStyle w:val="cs6c847bfc1"/>
          <w:rFonts w:ascii="Times New Roman" w:hAnsi="Times New Roman" w:cs="Times New Roman"/>
          <w:sz w:val="24"/>
          <w:szCs w:val="24"/>
        </w:rPr>
        <w:t xml:space="preserve">-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округов, составили 20415,6,0 тыс. рублей или 113 % к плану (план утвержден в размере 18123,0 тыс. рублей). По сравнению с аналогичным периодом 2017 года поступление выросли на 11% или на 1990,3 тыс. рублей. Рост поступлений связан</w:t>
      </w:r>
      <w:r w:rsidRPr="00912016">
        <w:rPr>
          <w:rStyle w:val="cs9d249ccb1"/>
        </w:rPr>
        <w:t xml:space="preserve"> с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проведением мероприятий по перераспределению земель, на основании заявлений граждан. С начала текущего года заключено 62 соглашения о перераспределении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в результате чего поступило 2566,1 тыс. рублей. В аналогичном периоде 2017 года перераспределение земель не проводилось. </w:t>
      </w:r>
    </w:p>
    <w:p w:rsidR="001070F3" w:rsidRPr="00912016" w:rsidRDefault="004E0F4D">
      <w:pPr>
        <w:pStyle w:val="cs3266721a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Сумма задолженности на 01.10.2018 г. по доходам от реализации объектов нежилого фонда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составляет 420,7 тыс. рублей, в т. ч. недоимка по оплате стоимости имущества – 407,4 тыс. рублей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, пени – 13,2 тыс. рублей. Образование задолженности обусловлено невыполнение покупателем предусмотренных договором сроков платежей. Сумма задолженности за 9 месяцев 2018 г. выросла на 374,4 тыс. рублей (на 808,7%), в т. ч. по основному долгу – на 366,3 тыс. рублей, по пеням –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на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8 тыс. рублей.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Сумма задолженности по договорам купли-продажи земельных участков на 01.10.2018 г. составляет 1768,8 тыс. рублей, в т. ч. по оплате стоимости земельного участка- 807,4 тыс. рублей, пени – 961,4 тыс. рублей. По сравнению с началом года размер недоимки снизился на 30,8 % или на 786,4 тыс. рублей (недоимка по основному долгу сократилась на 941,6 тыс. рублей, по пеня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м-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выросла на 155,2 тыс. рублей). С должниками ведется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-исковая работа, в отношении двух неплательщиков ведется исполнительное производство.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Штрафы, санкции, возмещение ущерба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За отчетный период в местный бюджет поступили доходы от штрафов, санкций, возмещения ущерба в размере 429,7 тыс. рублей или 103% от плана (план утвержден в размере 419,0 тыс. рублей). Перевыполнение плана связано с поступлением денежных штрафов, налагаемых администраторами доходов, по результатам проведения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контрольный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мероприятий. Снижение доходов по сравнению с аналогичным периодом прошлого года на 50% или на 428,5 тыс. рублей, обусловленное поступлением в 2017 году штрафов за нарушение условий по 5 договорам аренды нежилых помещений. </w:t>
      </w:r>
    </w:p>
    <w:p w:rsidR="001070F3" w:rsidRPr="00912016" w:rsidRDefault="004E0F4D">
      <w:pPr>
        <w:pStyle w:val="cs2e86d3a6"/>
      </w:pPr>
      <w:r w:rsidRPr="00912016">
        <w:rPr>
          <w:rStyle w:val="csd4c7bd781"/>
          <w:rFonts w:ascii="Times New Roman" w:hAnsi="Times New Roman" w:cs="Times New Roman"/>
          <w:sz w:val="24"/>
          <w:szCs w:val="24"/>
        </w:rPr>
        <w:t>Прочие неналоговые доходы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Поступления прочих неналоговых доходов составляют 718,9 тыс. рублей или 100% от плановых назначений. План утвержден в размере 719,0 тыс. рублей. По данной статье отражено поступление средств по договорам на размещение нестационарных торговых объектов. Поступления средств по договорам осуществляются в соответствии с установленными графиками.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По сравнению с прошлым годом поступления возросли на 1612% или на 676,9 тыс. рублей. В 2017 году аналогичные доходы не поступали.</w:t>
      </w:r>
    </w:p>
    <w:p w:rsidR="001F54B8" w:rsidRPr="009B0151" w:rsidRDefault="001F54B8" w:rsidP="001F54B8">
      <w:pPr>
        <w:jc w:val="center"/>
        <w:rPr>
          <w:b/>
          <w:noProof/>
        </w:rPr>
      </w:pPr>
      <w:r w:rsidRPr="009B0151">
        <w:rPr>
          <w:b/>
          <w:noProof/>
        </w:rPr>
        <w:t>БЕЗВОЗМЕЗДНЫЕ ПОСТУПЛЕНИЯ ОТ ДРУГИХ БЮДЖЕТОВ БЮДЖЕТНОЙ СИСТЕМЫ РОССИЙСКОЙ ФЕДЕРАЦИИ</w:t>
      </w:r>
      <w:r>
        <w:rPr>
          <w:b/>
          <w:noProof/>
        </w:rPr>
        <w:t xml:space="preserve"> (Приложение № 8)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поступления от других бюджетов бюджетной системы РФ составили 384700,8 тыс. рублей или 78% к годовому плану (годовой план утвержден в размере 495016,8 тыс. рублей), в том числе: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субсидии бюджетам бюджетной системы Российской Федерации (межбюджетные субсидии) – 134489,7 тыс. рублей или 70% к годовому плану (годовой план утвержден в размере 192468,7 тыс. рублей);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- субвенции бюджетам субъектов Российской Федерации и муниципальных образований – 210652,9 тыс. рублей или на 83% к годовому плану (годовой план утвержден в размере 254102,2 тыс. рублей);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иные межбюджетные трансферты – 39558,2 тыс. рублей или на 82% к годовому плану (годовой план утвержден в размере 48445,9 тыс. рублей).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Финансирование производится в пределах требуемых сумм и в соответствии с условиями соглашений на предоставление межбюджетных трансфертов.</w:t>
      </w:r>
    </w:p>
    <w:p w:rsidR="001070F3" w:rsidRPr="00912016" w:rsidRDefault="004E0F4D">
      <w:pPr>
        <w:pStyle w:val="cs2e86d3a6"/>
      </w:pPr>
      <w:r w:rsidRPr="00912016">
        <w:rPr>
          <w:rStyle w:val="cs5519f1861"/>
          <w:rFonts w:ascii="Times New Roman" w:hAnsi="Times New Roman" w:cs="Times New Roman"/>
          <w:sz w:val="24"/>
          <w:szCs w:val="24"/>
        </w:rPr>
        <w:t>Возврат остатков субсидий, субвенций и иных межбюджетных трансфертов, имеющих целевое назначение, прошлых лет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В течение отчетного периода возвращены из бюджета городского округа остатки неиспользованных на 01.01.2018 г. межбюджетных трансфертов, полученных в форме субсидий, субвенций и иных межбюджетных трансфертов, имеющих целевое назначение безвозмездных поступлений из областного бюджета в сумме 2 164,4 тыс. рублей.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Возврат остатков межбюджетных трансфертов из местного бюджета произведен в соответствии с законом Свердловской области от 19.12.2016 N 121-ОЗ «Об областном бюджете на 2018 год и плановый период 2019 и 2020 годов».</w:t>
      </w:r>
    </w:p>
    <w:p w:rsidR="001F54B8" w:rsidRPr="009B0151" w:rsidRDefault="001F54B8" w:rsidP="001F54B8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r w:rsidRPr="009B0151">
        <w:rPr>
          <w:b/>
          <w:bCs/>
          <w:i/>
          <w:iCs/>
          <w:color w:val="000000"/>
        </w:rPr>
        <w:t>Муниципальный долг</w:t>
      </w:r>
      <w:r>
        <w:rPr>
          <w:b/>
          <w:bCs/>
          <w:i/>
          <w:iCs/>
          <w:color w:val="000000"/>
        </w:rPr>
        <w:t xml:space="preserve"> (Приложения № 5, 6, 7) </w:t>
      </w:r>
    </w:p>
    <w:p w:rsidR="001070F3" w:rsidRPr="00912016" w:rsidRDefault="004E0F4D">
      <w:pPr>
        <w:pStyle w:val="cs3266721a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По состоянию на 01.10.2018 г. сумма муниципального долга составила 22407,9 тыс. рублей. </w:t>
      </w:r>
    </w:p>
    <w:tbl>
      <w:tblPr>
        <w:tblW w:w="9585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6"/>
        <w:gridCol w:w="734"/>
        <w:gridCol w:w="1497"/>
        <w:gridCol w:w="1445"/>
        <w:gridCol w:w="1538"/>
        <w:gridCol w:w="1705"/>
      </w:tblGrid>
      <w:tr w:rsidR="001070F3" w:rsidRPr="00912016" w:rsidTr="001F54B8">
        <w:tc>
          <w:tcPr>
            <w:tcW w:w="26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Наименование вида муниципального</w:t>
            </w:r>
          </w:p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внутреннего заимствования</w:t>
            </w:r>
          </w:p>
        </w:tc>
        <w:tc>
          <w:tcPr>
            <w:tcW w:w="7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 xml:space="preserve">Долг </w:t>
            </w:r>
            <w:proofErr w:type="gramStart"/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01.01.2018г.</w:t>
            </w:r>
          </w:p>
        </w:tc>
        <w:tc>
          <w:tcPr>
            <w:tcW w:w="2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 xml:space="preserve">Динамика в 2018 г. 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 xml:space="preserve">Долг </w:t>
            </w:r>
            <w:proofErr w:type="gramStart"/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01.10.2018 г.</w:t>
            </w:r>
          </w:p>
        </w:tc>
      </w:tr>
      <w:tr w:rsidR="001070F3" w:rsidRPr="00912016">
        <w:trPr>
          <w:trHeight w:val="56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70F3" w:rsidRPr="00912016" w:rsidRDefault="001070F3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70F3" w:rsidRPr="00912016" w:rsidRDefault="001070F3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70F3" w:rsidRPr="00912016" w:rsidRDefault="001070F3"/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 xml:space="preserve">Уменьшение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070F3" w:rsidRPr="00912016" w:rsidRDefault="001070F3"/>
        </w:tc>
      </w:tr>
      <w:tr w:rsidR="001070F3" w:rsidRPr="00912016" w:rsidTr="001F54B8">
        <w:trPr>
          <w:trHeight w:val="279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Бюджетные кредиты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27 090,0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32518,8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37200,9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22407,9</w:t>
            </w:r>
          </w:p>
        </w:tc>
      </w:tr>
      <w:tr w:rsidR="001070F3" w:rsidRPr="00912016" w:rsidTr="001F54B8">
        <w:trPr>
          <w:trHeight w:val="447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Кредитные соглашения и договора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070F3" w:rsidRPr="00912016" w:rsidTr="001F54B8">
        <w:trPr>
          <w:trHeight w:val="293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Муниципальные гарантии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070F3" w:rsidRPr="00912016" w:rsidTr="001F54B8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Ценные бумаги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070F3" w:rsidRPr="00912016" w:rsidTr="001F54B8">
        <w:trPr>
          <w:trHeight w:val="389"/>
        </w:trPr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dc4a801"/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926e061"/>
                <w:rFonts w:ascii="Times New Roman" w:hAnsi="Times New Roman" w:cs="Times New Roman"/>
              </w:rPr>
              <w:t> 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dc4a801"/>
                <w:rFonts w:ascii="Times New Roman" w:hAnsi="Times New Roman" w:cs="Times New Roman"/>
                <w:sz w:val="24"/>
                <w:szCs w:val="24"/>
              </w:rPr>
              <w:t>27 090 ,0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dc4a801"/>
                <w:rFonts w:ascii="Times New Roman" w:hAnsi="Times New Roman" w:cs="Times New Roman"/>
                <w:sz w:val="24"/>
                <w:szCs w:val="24"/>
              </w:rPr>
              <w:t>32518,8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dc4a801"/>
                <w:rFonts w:ascii="Times New Roman" w:hAnsi="Times New Roman" w:cs="Times New Roman"/>
                <w:sz w:val="24"/>
                <w:szCs w:val="24"/>
              </w:rPr>
              <w:t>37200,9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70F3" w:rsidRPr="00912016" w:rsidRDefault="004E0F4D">
            <w:pPr>
              <w:pStyle w:val="cs95e872d0"/>
            </w:pPr>
            <w:r w:rsidRPr="00912016">
              <w:rPr>
                <w:rStyle w:val="csdc4a801"/>
                <w:rFonts w:ascii="Times New Roman" w:hAnsi="Times New Roman" w:cs="Times New Roman"/>
                <w:sz w:val="24"/>
                <w:szCs w:val="24"/>
              </w:rPr>
              <w:t>22407,9</w:t>
            </w:r>
          </w:p>
        </w:tc>
      </w:tr>
    </w:tbl>
    <w:p w:rsidR="001F54B8" w:rsidRPr="009B0151" w:rsidRDefault="001F54B8" w:rsidP="001F54B8">
      <w:pPr>
        <w:ind w:firstLine="700"/>
      </w:pPr>
      <w:r>
        <w:rPr>
          <w:b/>
          <w:bCs/>
          <w:color w:val="000000"/>
        </w:rPr>
        <w:t>4.2. Расходы бюджета (Приложения № 2, 3, 4, 9)</w:t>
      </w:r>
    </w:p>
    <w:p w:rsidR="001070F3" w:rsidRPr="00912016" w:rsidRDefault="004E0F4D">
      <w:pPr>
        <w:pStyle w:val="csfc41765"/>
      </w:pPr>
      <w:proofErr w:type="gramStart"/>
      <w:r w:rsidRPr="00912016">
        <w:rPr>
          <w:rStyle w:val="csdc4a801"/>
          <w:rFonts w:ascii="Times New Roman" w:hAnsi="Times New Roman" w:cs="Times New Roman"/>
          <w:sz w:val="24"/>
          <w:szCs w:val="24"/>
        </w:rPr>
        <w:t>Исполнение бюджета по расходам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производилось согласно предоставленным получателями бюджетных средств, бюджетными и автономными учреждениями заявкам в соответствии с бюджетной росписью и кассовым планом, в пределах средств, поступивших на счет бюджета, и составило при утвержденном годовом плане 768 454,1 тыс. рублей, за отчетный период – 562 156,6 тыс. рублей или 73,2 % к утвержденному годовому плану. </w:t>
      </w:r>
      <w:proofErr w:type="gramEnd"/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Функциональная структура расходов сложилась следующим образом: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образование – 337 915,7 тыс. рублей или 60,1 % от общего объема расходов;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национальная экономика – 76 718,9 тыс. рублей или 13,6 %;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социальная политика – 46 518,3 тыс. рублей или 8,3 %;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расходы на общегосударственные вопросы – 31 340,6 тыс. рублей или 5,6 %;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культура и кинематография – 28 226,6 тыс. рублей или 5,0 %;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жилищно-коммунальное хозяйство – 21 370,5 тыс. рублей или 3,8 %;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физическая культура и спорт – 10 824,7 тыс. рублей или 1,9 %;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национальная безопасность и правоохранительная деятельность – 5 760,6 тыс. рублей или 1,0 %;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здравоохранение – 1 537,5 тыс. рублей или 0,3 %;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средства массовой информации – 1 715,0 тыс. рублей или 0,3 %;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- национальная оборона – 636,0 тыс. рублей или 0,1 %;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обслуживание государственного и муниципального долга – 16,7 тыс. рублей или 0,003 %.</w:t>
      </w:r>
    </w:p>
    <w:p w:rsidR="001070F3" w:rsidRPr="00912016" w:rsidRDefault="004E0F4D">
      <w:pPr>
        <w:pStyle w:val="cs66db5011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 xml:space="preserve">Раздел 0100. ОБЩЕГОСУДАРСТВЕННЫЕ ВОПРОСЫ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Исполнение расходов на общегосударственные вопросы за отчетный период составило 31 340,6 тыс. рублей или 75,2 % к утвержденному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2018 года были произведены следующие расходы на содержание муниципальных учреждений: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1) Дума Арамильского городского округа – 1 721,6 тыс. рублей или 73,5 %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2) Администрация Арамильского городского округа – 9 054,1 тыс. рублей или 65,6 %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3) Финансовый отдел Администрации Арамильского городского округа – 2 554,1 тыс. рублей или 72,4 %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4) Контрольно-счетная палата Арамильского городского округа – 1 346,4 тыс. рублей или 70,0 %;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5) Комитет по управлению муниципальным имуществом Арамильского городского округа – 1 776,4 тыс. рублей или 73,1 %;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6) МКУ «Управление зданиями и автомобильным транспортом Администрации Арамильского городского округа» - 12 124,4 тыс. рублей или 91,9 %;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7) МКУ «Муниципальный архив Арамильского городского округа» - 822,3 тыс. рублей или 67,8 %.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Так же были осуществлены следующие расходы: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1) оплата за предоставление информационно-статистических услуг – 18,5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тыс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.р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2) на возмещение ущерба по состоянию здоровья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Деревниной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В.И. – 198,8 тыс.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3) на осуществление государственного полномочия Свердловской области по созданию административных комиссий – 63,1 тыс. рублей или 59,3 % от утвержденных бюджетных ассигнований;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4) на создание материально-технических условий для обеспечения исполнения муниципальных программ – 609,0 тыс. рублей или 75,6 % от плана;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5) оплата выполненных работ по определению рыночной стоимости права собственности земельного участка; услуг по оценке имущества – 184,1 тыс. рублей.</w:t>
      </w:r>
    </w:p>
    <w:p w:rsidR="001070F3" w:rsidRPr="00912016" w:rsidRDefault="004E0F4D">
      <w:pPr>
        <w:pStyle w:val="cs66db5011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 xml:space="preserve">Раздел 0200. НАЦИОНАЛЬНАЯ ОБОРОНА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По подразделу 0203 «Мобилизационная и вневойсковая подготовка» финансировались расходы на содержание военно-учетного стола при Администрации Арамильского городского округа.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Данные расходы осуществлялись за счет федеральных средств, предоставленных бюджету Арамильского городского округа, из областного бюджета и при годовом плане 897,4 тыс. рублей составили 636,0 тыс. рублей или 70,9 % к утвержденному годовому плану, в том числе на заработную плату и начисления на выплаты по оплате труда – 605,8 тыс. рублей или 69,9 % к утвержденному годовому плану.</w:t>
      </w:r>
      <w:proofErr w:type="gramEnd"/>
    </w:p>
    <w:p w:rsidR="001070F3" w:rsidRPr="00912016" w:rsidRDefault="004E0F4D">
      <w:pPr>
        <w:pStyle w:val="cs2e86d3a6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 xml:space="preserve">Раздел 0300. НАЦИОНАЛЬНАЯ БЕЗОПАСНОСТЬ </w:t>
      </w:r>
    </w:p>
    <w:p w:rsidR="001070F3" w:rsidRPr="00912016" w:rsidRDefault="004E0F4D">
      <w:pPr>
        <w:pStyle w:val="cs2e86d3a6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 xml:space="preserve">И ПРАВООХРАНИТЕЛЬНАЯ ДЕЯТЕЛЬНОСТЬ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Расходы по данному разделу на год предусмотрены в сумме 8 145,8 тыс. рублей, фактические расходы за отчетный период 2018 года составили 5 760,6 тыс. рублей или 70,7 % к годовому плану, в том числе: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1) содержание МКУ «Единая дежурно-диспетчерская служба» составило 3 583,7 тыс. рублей или 65,5 % к годовому плану;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2) оплата кредиторской задолженности за выполнение работ по монтажу линий и оборудования для энергосбережения «ЕДДС» – 27,7 тыс.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3) оказание услуг по разработке и согласованию с Главным управлением МЧС России по Свердловской области Паспорта безопасности Арамильского городского округа – 63,7 тыс.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4) в целях развития материально-технической базы гражданской обороны и защиты населения были осуществлены расходы на приобретение труб для пополнения аварийного запаса – 1 768,7 тыс.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5) оплата услуг по проведению противопожарной пропаганды и агитации, обучение населения мерам пожарной безопасности – 266,4 тыс. рублей.</w:t>
      </w:r>
    </w:p>
    <w:p w:rsidR="001070F3" w:rsidRPr="00912016" w:rsidRDefault="004E0F4D">
      <w:pPr>
        <w:pStyle w:val="cs66db5011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 xml:space="preserve">Раздел 0400. НАЦИОНАЛЬНАЯ ЭКОНОМИКА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Исполнение по данному разделу составило 76 718,9 тыс. рублей или 81,5 % к годовому плану.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2018 года по разделу «Национальная экономика» были произведены следующие расходы: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По подразделу 0405 «Сельское хозяйство и рыболовство» в рамках реализации подпрограммы «Обеспечение рационального и безопасного природопользования на территории Арамильского городского округа до 2020 года» Муниципальной программы «Развитие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года» произведены расходы на осуществление мероприятий по отлову и содержанию безнадзорных животных – 185,9 тыс. рублей или 36,0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% к годовому плану, в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т.ч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. за счет субвенций из областного бюджета – 95,9 тыс. рублей или 22,5 % от утвержденного годового плана, за счет средств местного бюджета – 90,0 тыс. рублей или 100,0 %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По подразделу 0406 «Водное хозяйство» в рамках реализации подпрограммы «Обеспечение рационального и безопасного природопользования на территории Арамильского городского округа до 2020 года» Муниципальной программы «Развитие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года» произведены расходы на оплату содержания и ремонта ГТС (плотины) на р. Исеть в г. Арамиль – 798,4 тыс. рублей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или 74,6 %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3. По подразделу 0407 «Лесное хозяйство» оплачена кредиторская задолженность за оказание услуг по межеванию и постановке на кадастровый учёт 394 га городских лесов АГО в размере 159,9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4. По подразделу 0409 «Дорожное хозяйство (дорожные фонды)» в рамках реализации подпрограммы «Развитие дорожного хозяйства на территории Арамильского городского округа до 2020 года» Муниципальной программы «Развитие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года» были произведены следующие расходы: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оплата кредиторской задолженности за выполнение работ по реконструкции автомобильных дорог улиц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Бахчиванджи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и Есенина в г. Арамиль, в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т.ч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. оплата судебных издержек по исполнительным листам – 24 747,2 тыс. рублей;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оплата кредиторской задолженности за выполнение работ по ремонту автомобильных дорог по улицам: Ленина, Октябрьская 13, Щорса, Новая 42б, Красноармейская 118 – 5 276,1 тыс. рублей;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МБУ «Арамильская служба заказчика» перечислена субсидия в размере 33 754,2 тыс. рублей или 72,7 % от годового плана: </w:t>
      </w:r>
    </w:p>
    <w:p w:rsidR="001070F3" w:rsidRPr="00912016" w:rsidRDefault="004E0F4D">
      <w:pPr>
        <w:pStyle w:val="cs7fb5c607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на реконструкцию, ремонт и содержание дорог – 32 833,7 тыс. рублей, в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т.ч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. средства областного бюджета – 30 972,4 тыс. рублей, средства местного бюджета – 1 861, 3 тыс. рублей;</w:t>
      </w:r>
      <w:proofErr w:type="gramEnd"/>
    </w:p>
    <w:p w:rsidR="001070F3" w:rsidRPr="00912016" w:rsidRDefault="004E0F4D">
      <w:pPr>
        <w:pStyle w:val="csd98c70ab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разметку автомобильных дорог и установку знаков – 547,2 тыс. рублей;</w:t>
      </w:r>
    </w:p>
    <w:p w:rsidR="001070F3" w:rsidRPr="00912016" w:rsidRDefault="004E0F4D">
      <w:pPr>
        <w:pStyle w:val="csd23326cc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- содержание средств регулирования дорожного движения (светофоры), расположенных на территории Арамильского городского округа – 373,3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5. По подразделу 0410 «Связь и информатика» при годовом плане 1 609,9 тыс. рублей освоение составило 1 094,6 тыс. рублей или 68,0 % к годовому плану.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Были произведены расходы на оплату телекоммуникационных услуг в размере 350,0 тыс. рублей или 58,3 % к годовому плану.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В рамках реализации Муниципальной программы «Управление муниципальными финансами Арамильского городского округа до 2020 года» подпрограммы «Совершенствование информационной системы управления финансами» в целях повышения эффективности управления бюджетным процессом за счет применения автоматизированных систем были произведены расходы в размере 693,3 тыс. рублей или 72,3 %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6. По подразделу 0412 «Другие вопросы в области национальной экономики» осуществлены расходы в размере 10 467,3 тыс. рублей или 76,5 % к годовому плану, в том числе:</w:t>
      </w:r>
    </w:p>
    <w:p w:rsidR="001070F3" w:rsidRPr="00912016" w:rsidRDefault="004E0F4D">
      <w:pPr>
        <w:pStyle w:val="cs7fb5c607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1) В рамках реализации подпрограммы «Развитие малого и среднего предпринимательства и создание благоприятных условий для осуществления инвестиционной деятельности» Муниципальной программы 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года» произведены расходы на предоставление субсидии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Берёзовскому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фонду поддержки малого предпринимательства на финансирование мероприятий «Создание и обеспечение деятельности организации инфраструктуры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поддержки субъектов малого и среднего предпринимательства» в размере 1 710,0 тыс. рублей или 100,0 % к плану, в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т.ч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. за счет субсидии из областного бюджета – 1 140,0 тыс. рублей, за счет средств местного бюджета – 570,0 тыс. рублей.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2) На обеспечение деятельности Муниципального бюджетного учреждения «Арамильская служба заказчика» в бюджете Арамильского городского округа предусмотрено 7 086,4 тыс. рублей, в течение отчетного периода МБУ «Арамильская служба заказчика» перечислено 5 813,7 тыс. рублей или 82,0 %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3) На обеспечение деятельности Муниципального казенного учреждения «Центр земельных отношений и муниципального имущества Арамильского городского округа» в бюджете предусмотрено 3 723,7 тыс. рублей, за отчетный период 2018 года освоено 2 547,0 тыс. рублей или 68,4 %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4) Также произведены расходы: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оплату услуг по техническому обследованию, оценке износа здания – 35,4 тыс. рублей;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оплату кадастровых работ, подготовке межевых планов – 109,5 тыс. рублей;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оплату работ по подготовке проекта «Внесение изменений в генеральный план АГО» - 99,0 тыс. рублей;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оплату работ по подготовке проекта «Внесение изменений в Правила землепользования и застройки АГО» - 96,0 тыс. рублей;</w:t>
      </w:r>
    </w:p>
    <w:p w:rsidR="001070F3" w:rsidRPr="00912016" w:rsidRDefault="004E0F4D">
      <w:pPr>
        <w:pStyle w:val="cs7fb5c607"/>
      </w:pPr>
      <w:r w:rsidRPr="00912016">
        <w:rPr>
          <w:rStyle w:val="cs8926e061"/>
          <w:rFonts w:ascii="Times New Roman" w:hAnsi="Times New Roman" w:cs="Times New Roman"/>
        </w:rPr>
        <w:t xml:space="preserve">- на </w:t>
      </w:r>
      <w:proofErr w:type="gramStart"/>
      <w:r w:rsidRPr="00912016">
        <w:rPr>
          <w:rStyle w:val="cs8926e061"/>
          <w:rFonts w:ascii="Times New Roman" w:hAnsi="Times New Roman" w:cs="Times New Roman"/>
        </w:rPr>
        <w:t>выплату Тарасюк</w:t>
      </w:r>
      <w:proofErr w:type="gramEnd"/>
      <w:r w:rsidRPr="00912016">
        <w:rPr>
          <w:rStyle w:val="cs8926e061"/>
          <w:rFonts w:ascii="Times New Roman" w:hAnsi="Times New Roman" w:cs="Times New Roman"/>
        </w:rPr>
        <w:t xml:space="preserve"> В.В. по исполнительному листу серии ФС № 019023997 от 23.03.2018 г. судебных издержек – 42,8 тыс. рублей.</w:t>
      </w:r>
    </w:p>
    <w:p w:rsidR="001070F3" w:rsidRPr="00912016" w:rsidRDefault="004E0F4D">
      <w:pPr>
        <w:pStyle w:val="csc67cfa75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Раздел 0500. ЖИЛИЩНО-КОММУНАЛЬНОЕ ХОЗЯЙСТВО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Исполнение расходов по разделу «Жилищно-коммунальное хозяйство» при годовом плане 75 317,2 тыс. рублей составило 21 370,5 тыс. рублей или 28,4 % к годовому плану, в том числе: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1. По подразделу 0501 «Жилищное хозяйство» осуществлены расходы в размере 2 757,4 тыс. рублей или 9,1 % к годовому плану, в том числе: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на приобретение в муниципальную собственность городского округа жилых помещений для переселения граждан из аварийного жилого фонда в размере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745,3 тыс. рублей или 8,8 % к годовому плану;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уплату взносов на капитальный ремонт жилых помещений муниципального жилого фонда в Региональный Фонд содействия капитальному ремонту общего имущества в многоквартирных домах Свердловской области – 580,3 тыс. рублей;</w:t>
      </w:r>
    </w:p>
    <w:p w:rsidR="001070F3" w:rsidRPr="00912016" w:rsidRDefault="004E0F4D">
      <w:pPr>
        <w:pStyle w:val="cs7fb5c607"/>
      </w:pPr>
      <w:r w:rsidRPr="00912016">
        <w:rPr>
          <w:rStyle w:val="cs8926e061"/>
          <w:rFonts w:ascii="Times New Roman" w:hAnsi="Times New Roman" w:cs="Times New Roman"/>
        </w:rPr>
        <w:t>- на выплат</w:t>
      </w:r>
      <w:proofErr w:type="gramStart"/>
      <w:r w:rsidRPr="00912016">
        <w:rPr>
          <w:rStyle w:val="cs8926e061"/>
          <w:rFonts w:ascii="Times New Roman" w:hAnsi="Times New Roman" w:cs="Times New Roman"/>
        </w:rPr>
        <w:t>у ООО</w:t>
      </w:r>
      <w:proofErr w:type="gramEnd"/>
      <w:r w:rsidRPr="00912016">
        <w:rPr>
          <w:rStyle w:val="cs8926e061"/>
          <w:rFonts w:ascii="Times New Roman" w:hAnsi="Times New Roman" w:cs="Times New Roman"/>
        </w:rPr>
        <w:t xml:space="preserve"> «Управляющая компания «Константа плюс» по исполнительному листу серии ФС № 027008897 от 23.04.2018 г. суммы основного долга, расходов по уплате госпошлины (оплата коммунальных услуг, содержание и ремонт общего имущества) – 358,3 тыс. рублей;</w:t>
      </w:r>
    </w:p>
    <w:p w:rsidR="001070F3" w:rsidRPr="00912016" w:rsidRDefault="004E0F4D">
      <w:pPr>
        <w:pStyle w:val="cs7fb5c607"/>
      </w:pPr>
      <w:r w:rsidRPr="00912016">
        <w:rPr>
          <w:rStyle w:val="cs9d249ccb1"/>
        </w:rPr>
        <w:t xml:space="preserve">- оплату обязательств совершать от имени и за счёт Принципала юридические и иные действия за агентское вознаграждение – 20,1 тыс. рублей; </w:t>
      </w:r>
    </w:p>
    <w:p w:rsidR="001070F3" w:rsidRPr="00912016" w:rsidRDefault="004E0F4D">
      <w:pPr>
        <w:pStyle w:val="cs7fb5c607"/>
      </w:pPr>
      <w:r w:rsidRPr="00912016">
        <w:rPr>
          <w:rStyle w:val="cs9d249ccb1"/>
        </w:rPr>
        <w:t>- оплату работ по ремонту муниципальной квартиры по адресу: п. Арамиль 2 (Мельзавод), ул. Ломоносова 4, кв. 17 – 414,6 тыс. рублей;</w:t>
      </w:r>
    </w:p>
    <w:p w:rsidR="001070F3" w:rsidRPr="00912016" w:rsidRDefault="004E0F4D">
      <w:pPr>
        <w:pStyle w:val="cs7fb5c607"/>
      </w:pPr>
      <w:r w:rsidRPr="00912016">
        <w:rPr>
          <w:rStyle w:val="cs9d249ccb1"/>
        </w:rPr>
        <w:t xml:space="preserve">- оплату содержания общего имущества собственников помещений многоквартирного дома № 57 по </w:t>
      </w:r>
      <w:proofErr w:type="spellStart"/>
      <w:r w:rsidRPr="00912016">
        <w:rPr>
          <w:rStyle w:val="cs9d249ccb1"/>
        </w:rPr>
        <w:t>ул</w:t>
      </w:r>
      <w:proofErr w:type="gramStart"/>
      <w:r w:rsidRPr="00912016">
        <w:rPr>
          <w:rStyle w:val="cs9d249ccb1"/>
        </w:rPr>
        <w:t>.Щ</w:t>
      </w:r>
      <w:proofErr w:type="gramEnd"/>
      <w:r w:rsidRPr="00912016">
        <w:rPr>
          <w:rStyle w:val="cs9d249ccb1"/>
        </w:rPr>
        <w:t>орса</w:t>
      </w:r>
      <w:proofErr w:type="spellEnd"/>
      <w:r w:rsidRPr="00912016">
        <w:rPr>
          <w:rStyle w:val="cs9d249ccb1"/>
        </w:rPr>
        <w:t>. г.Арамиль – 699, 9 тыс. рублей.</w:t>
      </w:r>
    </w:p>
    <w:p w:rsidR="001070F3" w:rsidRPr="00912016" w:rsidRDefault="004E0F4D">
      <w:pPr>
        <w:pStyle w:val="cs7fb5c607"/>
      </w:pPr>
      <w:r w:rsidRPr="00912016">
        <w:rPr>
          <w:rStyle w:val="csae06bbdb1"/>
        </w:rPr>
        <w:t xml:space="preserve">2. За счет средств резервного фонда Администрации Арамильского городского округа были осуществлены расходы на выполнение работ по ремонту кровли жилых домов по адресу </w:t>
      </w:r>
      <w:proofErr w:type="spellStart"/>
      <w:r w:rsidRPr="00912016">
        <w:rPr>
          <w:rStyle w:val="csae06bbdb1"/>
        </w:rPr>
        <w:t>ул</w:t>
      </w:r>
      <w:proofErr w:type="gramStart"/>
      <w:r w:rsidRPr="00912016">
        <w:rPr>
          <w:rStyle w:val="csae06bbdb1"/>
        </w:rPr>
        <w:t>.Р</w:t>
      </w:r>
      <w:proofErr w:type="gramEnd"/>
      <w:r w:rsidRPr="00912016">
        <w:rPr>
          <w:rStyle w:val="csae06bbdb1"/>
        </w:rPr>
        <w:t>абочая</w:t>
      </w:r>
      <w:proofErr w:type="spellEnd"/>
      <w:r w:rsidRPr="00912016">
        <w:rPr>
          <w:rStyle w:val="csae06bbdb1"/>
        </w:rPr>
        <w:t>, 114 и ул. Рабочая, 116 с разборкой всех покрытий и деревянных элементов крыш и вывозом мусора в размере 201,7 тыс. рублей</w:t>
      </w:r>
      <w:r w:rsidRPr="00912016">
        <w:rPr>
          <w:rStyle w:val="cs9d249ccb1"/>
        </w:rPr>
        <w:t xml:space="preserve"> </w:t>
      </w:r>
      <w:r w:rsidRPr="00912016">
        <w:rPr>
          <w:rStyle w:val="csae06bbdb1"/>
        </w:rPr>
        <w:t>или 50,0 % к годовому плану.</w:t>
      </w:r>
    </w:p>
    <w:p w:rsidR="001070F3" w:rsidRPr="00912016" w:rsidRDefault="004E0F4D">
      <w:pPr>
        <w:pStyle w:val="csfc41765"/>
      </w:pPr>
      <w:r w:rsidRPr="00912016">
        <w:rPr>
          <w:rStyle w:val="cs8926e061"/>
          <w:rFonts w:ascii="Times New Roman" w:hAnsi="Times New Roman" w:cs="Times New Roman"/>
        </w:rPr>
        <w:t>2. По подразделу 0502 «Коммунальное хозяйство» при уточненном годовом плане 3 776,7 тыс. рублей освоение составило 985,4 тыс. рублей или 26,1 %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8926e061"/>
          <w:rFonts w:ascii="Times New Roman" w:hAnsi="Times New Roman" w:cs="Times New Roman"/>
        </w:rPr>
        <w:t xml:space="preserve">Произведены расходы: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1) МБУ «Арамильская служба заказчика» перечислена субсидия в размере 985,4 тыс. рублей или 32,0 % от годового плана: </w:t>
      </w:r>
    </w:p>
    <w:p w:rsidR="00030C1F" w:rsidRDefault="004E0F4D">
      <w:pPr>
        <w:pStyle w:val="cs7fb5c607"/>
        <w:rPr>
          <w:rStyle w:val="cs1b16eeb51"/>
          <w:rFonts w:ascii="Times New Roman" w:hAnsi="Times New Roman" w:cs="Times New Roman"/>
          <w:sz w:val="24"/>
          <w:szCs w:val="24"/>
        </w:rPr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на ремонт тепловой камеры у магазина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Лугань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до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ж/д по ул.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Станционная 12,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.А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рамиль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; ремонт тепловых сетей г.Арамиль; ремонт водозабора и трубной части бойлера котельной № 5 – 30,0 тыс. рублей;</w:t>
      </w:r>
    </w:p>
    <w:p w:rsidR="001070F3" w:rsidRPr="00912016" w:rsidRDefault="004E0F4D">
      <w:pPr>
        <w:pStyle w:val="csd23326cc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экспертизу сметной документации на «Строительство централизованной системы водоотведения п.</w:t>
      </w:r>
      <w:r w:rsidR="00030C1F">
        <w:rPr>
          <w:rStyle w:val="cs1b16eeb51"/>
          <w:rFonts w:ascii="Times New Roman" w:hAnsi="Times New Roman" w:cs="Times New Roman"/>
          <w:sz w:val="24"/>
          <w:szCs w:val="24"/>
        </w:rPr>
        <w:t xml:space="preserve"> А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рамиль» с подключением в централизованную систему водоотведения п.</w:t>
      </w:r>
      <w:r w:rsidR="00030C1F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Светлый – 18,4 тыс. рублей;</w:t>
      </w:r>
    </w:p>
    <w:p w:rsidR="001070F3" w:rsidRPr="00912016" w:rsidRDefault="004E0F4D">
      <w:pPr>
        <w:pStyle w:val="csd23326cc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работы по увеличению высоты наземного газопровода в месте пересечения автодорог в п.</w:t>
      </w:r>
      <w:r w:rsidR="00030C1F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Арамиль – 40,5 тыс. рублей;</w:t>
      </w:r>
    </w:p>
    <w:p w:rsidR="001070F3" w:rsidRPr="00912016" w:rsidRDefault="004E0F4D">
      <w:pPr>
        <w:pStyle w:val="csd23326cc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разработку проектно-изыскательских работ по объекту: рекультивация свалки бытовых и промышленных отходов в г.Арамиль – 896,6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3. По подразделу 0503 «Благоустройство» осуществлены расходы в размере 17 627,7 тыс. рублей или 59,6 % к годовому плану, в том числе: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1) В рамках реализации подпрограммы «Развитие дорожного хозяйства на территории Арамильского городского округа до 2020 года» Муниципальной программы «Развитие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года» были произведены следующие расходы: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уличное освещение дорог; на оплату кредиторской задолженности за выполнение работ по содержанию и ремонту сетей уличного освещения Арамильского городского округа – 4 620,4 тыс. рублей или 56,4 % к годовому плану.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2) За счет средств резервного фонда Правительства Свердловской области были осуществлены расходы на проведение рейтингового голосования по отбору общественных территорий, подлежащих благоустройству в рамках реализации муниципальных программ формирования городской среды в размере 334,68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3)Осуществлены расходы на возмещение затрат согласно исполнительным листам (пени, госпошлина, юридические услуги) в размере 265,1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 xml:space="preserve">4) МБУ «Арамильская служба заказчика» перечислена субсидия в размере 12 040,4 тыс. рублей: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проведение мероприятий по благоустройству – 589,2 тыс. рублей;</w:t>
      </w:r>
    </w:p>
    <w:p w:rsidR="001070F3" w:rsidRPr="00912016" w:rsidRDefault="004E0F4D">
      <w:pPr>
        <w:pStyle w:val="csd23326cc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проведение проектных работ и проведение экспертизы сметной документации для проведения мероприятий по благоустройству общественных территорий – 166,0 тыс. рублей;</w:t>
      </w:r>
    </w:p>
    <w:p w:rsidR="001070F3" w:rsidRPr="00912016" w:rsidRDefault="004E0F4D">
      <w:pPr>
        <w:pStyle w:val="csd23326cc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модернизацию систем и объектов наружного освещения – 1 885,2 тыс. рублей или 73,1 % к годовому плану;</w:t>
      </w:r>
    </w:p>
    <w:p w:rsidR="001070F3" w:rsidRPr="00912016" w:rsidRDefault="004E0F4D">
      <w:pPr>
        <w:pStyle w:val="csd23326cc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выполнение работ по благоустройству общественных пространств – 9 400,0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5) Оплата обязательств по мировому соглашению б\н от 30.03.2015 г. – 16,7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6) Оплата работ по благоустройству – 300,5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7) Оплата исполнительного сбора по ИП № 66062/18/44285 от 17.05.2018 г. за установку стационарного электроосвещения на пешеходных переходах – 50,0 тыс. рублей.</w:t>
      </w:r>
    </w:p>
    <w:p w:rsidR="001070F3" w:rsidRPr="00912016" w:rsidRDefault="004E0F4D">
      <w:pPr>
        <w:pStyle w:val="cs5e56cf0a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Раздел 0700. ОБРАЗОВАНИЕ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Исполнение расходов по разделу «Образование» при годовом плане 429 373,0 тыс. рублей составило 337 915,8 тыс. рублей или 78,7 %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1. За отчетный период 2018 года по подразделу 0701 «Дошкольное образование» осуществлены расходы в размере 157 499,1 тыс. рублей или 79,4 % к годовому плану, в том числе: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1) На обеспечение деятельности восьми дошкольных образовательных учреждений – 149 941,7 тыс. рублей или 78,5 % к годовому плану, в том числе:</w:t>
      </w:r>
    </w:p>
    <w:p w:rsidR="001070F3" w:rsidRPr="00912016" w:rsidRDefault="004E0F4D">
      <w:pPr>
        <w:pStyle w:val="cs7fb5c607"/>
      </w:pPr>
      <w:r w:rsidRPr="00912016">
        <w:rPr>
          <w:rStyle w:val="cs41aa85431"/>
          <w:rFonts w:ascii="Times New Roman" w:hAnsi="Times New Roman" w:cs="Times New Roman"/>
          <w:sz w:val="24"/>
          <w:szCs w:val="24"/>
        </w:rPr>
        <w:t xml:space="preserve">- на финансовое обеспечение государственных гарантий реализации прав на получение общедоступного и бесплатного дошкольного образования </w:t>
      </w:r>
      <w:proofErr w:type="gramStart"/>
      <w:r w:rsidRPr="00912016">
        <w:rPr>
          <w:rStyle w:val="cs41aa85431"/>
          <w:rFonts w:ascii="Times New Roman" w:hAnsi="Times New Roman" w:cs="Times New Roman"/>
          <w:sz w:val="24"/>
          <w:szCs w:val="24"/>
        </w:rPr>
        <w:t>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 за счет средств областного бюджета в размере</w:t>
      </w:r>
      <w:proofErr w:type="gramEnd"/>
      <w:r w:rsidRPr="00912016">
        <w:rPr>
          <w:rStyle w:val="cs41aa85431"/>
          <w:rFonts w:ascii="Times New Roman" w:hAnsi="Times New Roman" w:cs="Times New Roman"/>
          <w:sz w:val="24"/>
          <w:szCs w:val="24"/>
        </w:rPr>
        <w:t xml:space="preserve"> 90 064,0 тыс. рублей или 81,8 %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>- финансирование расходов на приобретение учебников и учебных пособий, средств обучения, игр, игрушек в размере 1 332,3 тыс. рублей или 75,0 %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 xml:space="preserve">- на обеспечение оплаты труда работников муниципальных учреждений в размере не ниже минимального </w:t>
      </w:r>
      <w:proofErr w:type="gramStart"/>
      <w:r w:rsidRPr="00912016">
        <w:rPr>
          <w:rStyle w:val="cs40178a721"/>
          <w:rFonts w:ascii="Times New Roman" w:hAnsi="Times New Roman" w:cs="Times New Roman"/>
        </w:rPr>
        <w:t>размера оплаты труда</w:t>
      </w:r>
      <w:proofErr w:type="gramEnd"/>
      <w:r w:rsidRPr="00912016">
        <w:rPr>
          <w:rStyle w:val="cs40178a721"/>
          <w:rFonts w:ascii="Times New Roman" w:hAnsi="Times New Roman" w:cs="Times New Roman"/>
        </w:rPr>
        <w:t xml:space="preserve"> </w:t>
      </w:r>
      <w:r w:rsidRPr="00912016">
        <w:rPr>
          <w:rStyle w:val="cs41aa85431"/>
          <w:rFonts w:ascii="Times New Roman" w:hAnsi="Times New Roman" w:cs="Times New Roman"/>
          <w:sz w:val="24"/>
          <w:szCs w:val="24"/>
        </w:rPr>
        <w:t>за счет средств областного бюджета в размере 357,3 тыс. рублей или 100,0%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41aa85431"/>
          <w:rFonts w:ascii="Times New Roman" w:hAnsi="Times New Roman" w:cs="Times New Roman"/>
          <w:sz w:val="24"/>
          <w:szCs w:val="24"/>
        </w:rPr>
        <w:t>2)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На оплату кредиторской задолженности по выполнению работ по реконструкции здания ДОУ «Детский сад № 3 «Родничок» по ул.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Рабочая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, 118 на 350 мест в г. Арамиль в размере 5 583,5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3) На оплату денежного взыскания, налагаемого в возмещение ущерба, причиненного в результате нецелевого использования бюджетных средств, выделенных на выполнение работ по реконструкции здания ДОУ «Детский сад № 3 «Родничок» по ул.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Рабочая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, 118 на 350 мест в г. Арамиль – 1 862,1 тыс. рублей.</w:t>
      </w:r>
    </w:p>
    <w:p w:rsidR="001070F3" w:rsidRPr="00912016" w:rsidRDefault="004E0F4D">
      <w:pPr>
        <w:pStyle w:val="cs7fb5c607"/>
      </w:pPr>
      <w:r w:rsidRPr="00912016">
        <w:rPr>
          <w:rStyle w:val="cs8926e061"/>
          <w:rFonts w:ascii="Times New Roman" w:hAnsi="Times New Roman" w:cs="Times New Roman"/>
        </w:rPr>
        <w:t>4) На оплату денежного взыскания (штрафа) за нарушение бюджетного законодательства (в части бюджетов субъектов РФ) по постановлению Министерства финансов Свердловской области № 101 от 04.12.17 г. – 19,9 тыс. рублей.</w:t>
      </w:r>
    </w:p>
    <w:p w:rsidR="001070F3" w:rsidRPr="00912016" w:rsidRDefault="004E0F4D">
      <w:pPr>
        <w:pStyle w:val="cs7fb5c607"/>
      </w:pPr>
      <w:r w:rsidRPr="00912016">
        <w:rPr>
          <w:rStyle w:val="cs8926e061"/>
          <w:rFonts w:ascii="Times New Roman" w:hAnsi="Times New Roman" w:cs="Times New Roman"/>
        </w:rPr>
        <w:t>5) Н</w:t>
      </w:r>
      <w:r w:rsidRPr="00912016">
        <w:rPr>
          <w:rStyle w:val="cs40178a721"/>
          <w:rFonts w:ascii="Times New Roman" w:hAnsi="Times New Roman" w:cs="Times New Roman"/>
        </w:rPr>
        <w:t xml:space="preserve">а погашение кредиторской </w:t>
      </w:r>
      <w:proofErr w:type="gramStart"/>
      <w:r w:rsidRPr="00912016">
        <w:rPr>
          <w:rStyle w:val="cs40178a721"/>
          <w:rFonts w:ascii="Times New Roman" w:hAnsi="Times New Roman" w:cs="Times New Roman"/>
        </w:rPr>
        <w:t>задолженности</w:t>
      </w:r>
      <w:proofErr w:type="gramEnd"/>
      <w:r w:rsidRPr="00912016">
        <w:rPr>
          <w:rStyle w:val="cs40178a721"/>
          <w:rFonts w:ascii="Times New Roman" w:hAnsi="Times New Roman" w:cs="Times New Roman"/>
        </w:rPr>
        <w:t xml:space="preserve"> на приобретение мебели и материальных запасов для ввода дополнительных мест в ДОУ в размере 971,5 тыс. рублей, из них перечислено учреждениям 971,5 или 100,0 %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2. По подразделу 0702 «Общее образование» осуществлены расходы в размере 117 591,9 тыс. рублей или 80,6 % к годовому плану, в том числе: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1) На обеспечение деятельности трех общеобразовательных учреждений за отчетный период расходы составили – 117 561,9 тыс. рублей или 80,6 % к годовому плану, в том числе были осуществлены расходы:</w:t>
      </w:r>
    </w:p>
    <w:p w:rsidR="001070F3" w:rsidRPr="00912016" w:rsidRDefault="004E0F4D">
      <w:pPr>
        <w:pStyle w:val="cs7fb5c607"/>
      </w:pPr>
      <w:proofErr w:type="gramStart"/>
      <w:r w:rsidRPr="00912016">
        <w:rPr>
          <w:rStyle w:val="cs41aa85431"/>
          <w:rFonts w:ascii="Times New Roman" w:hAnsi="Times New Roman" w:cs="Times New Roman"/>
          <w:sz w:val="24"/>
          <w:szCs w:val="24"/>
        </w:rPr>
        <w:t>-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 за счет средств областного бюджета в размере 76 000,0 тыс. рублей или 88,4 % к годовому плану;</w:t>
      </w:r>
      <w:proofErr w:type="gramEnd"/>
    </w:p>
    <w:p w:rsidR="001070F3" w:rsidRPr="00912016" w:rsidRDefault="004E0F4D">
      <w:pPr>
        <w:pStyle w:val="cs7fb5c607"/>
      </w:pPr>
      <w:r w:rsidRPr="00912016">
        <w:rPr>
          <w:rStyle w:val="cs41aa85431"/>
          <w:rFonts w:ascii="Times New Roman" w:hAnsi="Times New Roman" w:cs="Times New Roman"/>
          <w:sz w:val="24"/>
          <w:szCs w:val="24"/>
        </w:rPr>
        <w:t>- на 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 за счет средств областного бюджета в размере 4 704,8 тыс. рублей или 75,0 %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41aa85431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12016">
        <w:rPr>
          <w:rStyle w:val="cs41aa85431"/>
          <w:rFonts w:ascii="Times New Roman" w:hAnsi="Times New Roman" w:cs="Times New Roman"/>
          <w:sz w:val="24"/>
          <w:szCs w:val="24"/>
        </w:rPr>
        <w:t>на осуществление мероприятий по организации питания в муниципальных общеобразовательных организациях за счет средств областного бюджета в размере</w:t>
      </w:r>
      <w:proofErr w:type="gramEnd"/>
      <w:r w:rsidRPr="00912016">
        <w:rPr>
          <w:rStyle w:val="cs41aa85431"/>
          <w:rFonts w:ascii="Times New Roman" w:hAnsi="Times New Roman" w:cs="Times New Roman"/>
          <w:sz w:val="24"/>
          <w:szCs w:val="24"/>
        </w:rPr>
        <w:t xml:space="preserve"> 12 798,0 тыс. рублей или 61,7 %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 xml:space="preserve">- на обеспечение оплаты труда работников муниципальных учреждений в размере не ниже минимального </w:t>
      </w:r>
      <w:proofErr w:type="gramStart"/>
      <w:r w:rsidRPr="00912016">
        <w:rPr>
          <w:rStyle w:val="cs40178a721"/>
          <w:rFonts w:ascii="Times New Roman" w:hAnsi="Times New Roman" w:cs="Times New Roman"/>
        </w:rPr>
        <w:t>размера оплаты труда</w:t>
      </w:r>
      <w:proofErr w:type="gramEnd"/>
      <w:r w:rsidRPr="00912016">
        <w:rPr>
          <w:rStyle w:val="cs40178a721"/>
          <w:rFonts w:ascii="Times New Roman" w:hAnsi="Times New Roman" w:cs="Times New Roman"/>
        </w:rPr>
        <w:t xml:space="preserve"> </w:t>
      </w:r>
      <w:r w:rsidRPr="00912016">
        <w:rPr>
          <w:rStyle w:val="cs41aa85431"/>
          <w:rFonts w:ascii="Times New Roman" w:hAnsi="Times New Roman" w:cs="Times New Roman"/>
          <w:sz w:val="24"/>
          <w:szCs w:val="24"/>
        </w:rPr>
        <w:t>за счет средств областного бюджета в размере 459,2 тыс. рублей или 100,0%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41aa85431"/>
          <w:rFonts w:ascii="Times New Roman" w:hAnsi="Times New Roman" w:cs="Times New Roman"/>
          <w:sz w:val="24"/>
          <w:szCs w:val="24"/>
        </w:rPr>
        <w:t xml:space="preserve">2) </w:t>
      </w:r>
      <w:r w:rsidRPr="00912016">
        <w:rPr>
          <w:rStyle w:val="cs40178a721"/>
          <w:rFonts w:ascii="Times New Roman" w:hAnsi="Times New Roman" w:cs="Times New Roman"/>
        </w:rPr>
        <w:t>За счет средств резервного фонда Администрации Арамильского городского округа в первом полугодии 2018 года были осуществлены расходы на награждение выпускников общеобразовательных учреждений Арамильского городского округа, показавших отличные результаты при получении среднего общего образования в размере 30,0 тыс. рублей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 w:rsidRPr="00912016">
        <w:rPr>
          <w:rStyle w:val="cs40178a721"/>
          <w:rFonts w:ascii="Times New Roman" w:hAnsi="Times New Roman" w:cs="Times New Roman"/>
        </w:rPr>
        <w:t>или 100,0 %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3. По подразделу 0703 «Дополнительное образование детей» осуществлены расходы в размере 42 011,8 тыс. рублей или 71,2 % к годовому плану, в том числе: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обеспечение деятельности трех учреждений дополнительного образования – 41 933,3 тыс. рублей или 71,1 %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з</w:t>
      </w:r>
      <w:r w:rsidRPr="00912016">
        <w:rPr>
          <w:rStyle w:val="cs40178a721"/>
          <w:rFonts w:ascii="Times New Roman" w:hAnsi="Times New Roman" w:cs="Times New Roman"/>
        </w:rPr>
        <w:t>а счет средств резервного фонда Администрации Арамильского городского округа в первом полугодии 2018 года были осуществлены расходы на награждение участников спортивных и творческих отделений муниципальных учреждений Арамильского городского округа в размере 78,5 тыс. рублей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 w:rsidRPr="00912016">
        <w:rPr>
          <w:rStyle w:val="cs40178a721"/>
          <w:rFonts w:ascii="Times New Roman" w:hAnsi="Times New Roman" w:cs="Times New Roman"/>
        </w:rPr>
        <w:t>или 100,0 %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>4. За первое полугодие 2018 года по подразделу «Молодежная политика» при годовом плане 9 725,2 тыс. рублей исполнение составило 8 968,1 тыс. рублей или 92,2 %.</w:t>
      </w:r>
    </w:p>
    <w:p w:rsidR="001070F3" w:rsidRPr="00912016" w:rsidRDefault="004E0F4D">
      <w:pPr>
        <w:pStyle w:val="cs7fb5c607"/>
      </w:pPr>
      <w:proofErr w:type="gramStart"/>
      <w:r w:rsidRPr="00912016">
        <w:rPr>
          <w:rStyle w:val="cs8926e061"/>
          <w:rFonts w:ascii="Times New Roman" w:hAnsi="Times New Roman" w:cs="Times New Roman"/>
        </w:rPr>
        <w:t>В рамках реализации Муниципальной программы «Развитие системы образования в Арамильском городском округе до 2020 года» подпрограммы «Развитие дополнительного образования, отдыха и оздоровления детей в Арамильском городском округе» на проведение мероприятий по организации отдыха и оздоровления детей в каникулярное время при годовом плане 8 827,8 тыс. рублей были произведены расходы в размере 8 541,1 тыс. рублей или 96,8 % к годовому плану</w:t>
      </w:r>
      <w:proofErr w:type="gramEnd"/>
      <w:r w:rsidRPr="00912016">
        <w:rPr>
          <w:rStyle w:val="cs8926e061"/>
          <w:rFonts w:ascii="Times New Roman" w:hAnsi="Times New Roman" w:cs="Times New Roman"/>
        </w:rPr>
        <w:t>, из них:</w:t>
      </w:r>
    </w:p>
    <w:p w:rsidR="001070F3" w:rsidRPr="00912016" w:rsidRDefault="004E0F4D">
      <w:pPr>
        <w:pStyle w:val="cs7fb5c607"/>
      </w:pPr>
      <w:r w:rsidRPr="00912016">
        <w:rPr>
          <w:rStyle w:val="cs8926e061"/>
          <w:rFonts w:ascii="Times New Roman" w:hAnsi="Times New Roman" w:cs="Times New Roman"/>
        </w:rPr>
        <w:t>- за счет средств местного бюджета при годовом плане 2 090,0 тыс. рублей осуществлены расходы в размере 1 827,8 тыс. рублей или 87,5 %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8926e061"/>
          <w:rFonts w:ascii="Times New Roman" w:hAnsi="Times New Roman" w:cs="Times New Roman"/>
        </w:rPr>
        <w:t>- за счет субсидий на организацию отдыха детей в каникулярное время, предоставленных бюджету городского округа из областного бюджета в размере 6 737,8 тыс. рублей, осуществлены расходы в размере 6 713,3 тыс. рублей или 99,6 %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>В рамках реализации Муниципальной программы «Развитие физической культуры, спорта и молодежной политики в Арамильском городском округе до 2020 года»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 w:rsidRPr="00912016">
        <w:rPr>
          <w:rStyle w:val="cs40178a721"/>
          <w:rFonts w:ascii="Times New Roman" w:hAnsi="Times New Roman" w:cs="Times New Roman"/>
        </w:rPr>
        <w:t>были произведены следующие расходы:</w:t>
      </w:r>
    </w:p>
    <w:p w:rsidR="001070F3" w:rsidRPr="00912016" w:rsidRDefault="004E0F4D">
      <w:pPr>
        <w:pStyle w:val="cs7fb5c607"/>
      </w:pPr>
      <w:r w:rsidRPr="00912016">
        <w:rPr>
          <w:rStyle w:val="cs8926e061"/>
          <w:rFonts w:ascii="Times New Roman" w:hAnsi="Times New Roman" w:cs="Times New Roman"/>
        </w:rPr>
        <w:lastRenderedPageBreak/>
        <w:t>1)</w:t>
      </w:r>
      <w:r w:rsidRPr="00912016">
        <w:rPr>
          <w:rStyle w:val="cs40178a721"/>
          <w:rFonts w:ascii="Times New Roman" w:hAnsi="Times New Roman" w:cs="Times New Roman"/>
        </w:rPr>
        <w:t xml:space="preserve"> по подпрограмме «Патриотическое воспитание граждан в Арамильском городском округе» до 2020 года» в бюджете городского округа в 2018 году предусмотрено предоставление субсидий на иные цели Муниципальному бюджетному учреждению «Центр развития физической культуры, спорта и молодежной политики «Созвездие»: 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>- на реализацию мероприятий по организации и проведению 5-дневных учебных сборов по начальной военной подготовке для допризывной молодежи в размере 137,0 тыс. рублей;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 xml:space="preserve">- на </w:t>
      </w:r>
      <w:r w:rsidRPr="00912016">
        <w:rPr>
          <w:rStyle w:val="cs8926e061"/>
          <w:rFonts w:ascii="Times New Roman" w:hAnsi="Times New Roman" w:cs="Times New Roman"/>
        </w:rPr>
        <w:t>обеспечение деятельности ежегодной молодежной биржи труда в размере 260,0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5. По подразделу 0709 «Другие вопросы в области образования» осуществлены расходы в размере 11 844,9 тыс. рублей или 72,5 % к годовому плану, в том числе: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обеспечение деятельности Отдела образования Арамильского городского округа – 1 341,0 тыс. рублей или 73,2 %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обеспечение деятельности МКУ «Организационно-методический центр» – 1 022,5 тыс. рублей или 60,6 % к годовому плану;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обеспечение деятельности МКУ «Центр бухгалтерского сопровождения органов местного самоуправления и муниципальных учреждений Арамильского городского округа» – 9 481,4 тыс. рублей или 74,0 % к годовому плану.</w:t>
      </w:r>
    </w:p>
    <w:p w:rsidR="001070F3" w:rsidRPr="00912016" w:rsidRDefault="004E0F4D">
      <w:pPr>
        <w:pStyle w:val="csc67cfa75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Раздел 0800. КУЛЬТУРА И КИНЕМАТОГРАФИЯ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Исполнение бюджета по разделу «Культура и кинематография» при годовом плане 35 950,2 тыс. рублей составило 28 226,6 тыс. рублей или 78,5 %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по подразделу 0801 «Культура» были произведены следующие расходы: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1. МБУ «ДК г. Арамиль» предоставлена субсидия на возмещение нормативных затрат, связанных с оказанием им, в соответствии с муниципальным заданием, муниципальных услуг в размере 14 886,0 тыс. рублей или 77,0 % к годовому плану.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2. МБУ «Культурно-досуговый комплекс «Виктория» предоставлена субсидия на возмещение нормативных затрат, связанных с оказанием им, в соответствии с муниципальным заданием, муниципальных услуг в размере 6 568,7 тыс. рублей или 75,5 %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3. МБУ «Арамильская ЦГБ» предоставлена субсидия на возмещение нормативных затрат, связанных с оказанием им, в соответствии с муниципальным заданием, муниципальных услуг в размере 4 682,2 тыс. рублей или 80,5 %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>Кроме того, в рамках реализации Муниципальной программы «Развитие культуры и средств массовой информации в Арамильском городском округе до 2020 года» подпрограммы «Развитие культуры в Арамильском городском округе» произведены расходы: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>- на организацию и проведение общегородских мероприятий в размере 553,7 тыс. рублей или 100,0 % к годовому плану, в том числе из бюджета городского округа выделялись субсидии на иные цели в рамках указанных мероприятий МБУ «Дворец культуры города Арамиль» в размере 200,0 тыс. рублей, МБУ КДК «Виктория» в размере 182,4 тыс. рублей;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 xml:space="preserve">- на ремонт кинопроекционной в МБУ «Дворец культуры города Арамиль» - 1 032,1 </w:t>
      </w:r>
      <w:proofErr w:type="spellStart"/>
      <w:r w:rsidRPr="00912016">
        <w:rPr>
          <w:rStyle w:val="cs40178a721"/>
          <w:rFonts w:ascii="Times New Roman" w:hAnsi="Times New Roman" w:cs="Times New Roman"/>
        </w:rPr>
        <w:t>тыс</w:t>
      </w:r>
      <w:proofErr w:type="gramStart"/>
      <w:r w:rsidRPr="00912016">
        <w:rPr>
          <w:rStyle w:val="cs40178a721"/>
          <w:rFonts w:ascii="Times New Roman" w:hAnsi="Times New Roman" w:cs="Times New Roman"/>
        </w:rPr>
        <w:t>.р</w:t>
      </w:r>
      <w:proofErr w:type="gramEnd"/>
      <w:r w:rsidRPr="00912016">
        <w:rPr>
          <w:rStyle w:val="cs40178a721"/>
          <w:rFonts w:ascii="Times New Roman" w:hAnsi="Times New Roman" w:cs="Times New Roman"/>
        </w:rPr>
        <w:t>ублей</w:t>
      </w:r>
      <w:proofErr w:type="spellEnd"/>
      <w:r w:rsidRPr="00912016">
        <w:rPr>
          <w:rStyle w:val="cs40178a721"/>
          <w:rFonts w:ascii="Times New Roman" w:hAnsi="Times New Roman" w:cs="Times New Roman"/>
        </w:rPr>
        <w:t>.</w:t>
      </w:r>
    </w:p>
    <w:p w:rsidR="001070F3" w:rsidRPr="00912016" w:rsidRDefault="004E0F4D">
      <w:pPr>
        <w:pStyle w:val="cs7fb5c607"/>
      </w:pPr>
      <w:r w:rsidRPr="00912016">
        <w:rPr>
          <w:rStyle w:val="cs40178a721"/>
          <w:rFonts w:ascii="Times New Roman" w:hAnsi="Times New Roman" w:cs="Times New Roman"/>
        </w:rPr>
        <w:t>За счет средств резервного фонда Администрации Арамильского городского округа в первом полугодии 2018 года были осуществлены расходы на награждение участников спортивных и творческих отделений муниципальных учреждений Арамильского городского округа в размере 11,0 тыс. рублей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 w:rsidRPr="00912016">
        <w:rPr>
          <w:rStyle w:val="cs40178a721"/>
          <w:rFonts w:ascii="Times New Roman" w:hAnsi="Times New Roman" w:cs="Times New Roman"/>
        </w:rPr>
        <w:t>или 100,0 % к годовому плану.</w:t>
      </w:r>
    </w:p>
    <w:p w:rsidR="001070F3" w:rsidRPr="00912016" w:rsidRDefault="004E0F4D">
      <w:pPr>
        <w:pStyle w:val="csc67cfa75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Раздел 0900. ЗДРАВООХРАНЕНИЕ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По разделу 0900 «Здравоохранение» в бюджете Арамильского городского округа запланированы расходы на погашение кредиторской задолженности перед ООО «Газпром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трансгаз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Екатеринбург» за строительство больничного комплекса в г. Арамиль по адресу ул. Садовая, 10 в сумме 1 537,5 тыс. рублей. За отчетный период исполнение по данному разделу составило 1 537,5 тыс. рублей или 100,0 % к утвержденному годовому плану.</w:t>
      </w:r>
    </w:p>
    <w:p w:rsidR="00030C1F" w:rsidRDefault="004E0F4D" w:rsidP="00030C1F">
      <w:pPr>
        <w:pStyle w:val="cs5e56cf0a"/>
        <w:spacing w:after="0"/>
        <w:rPr>
          <w:rStyle w:val="csdc4a801"/>
          <w:rFonts w:ascii="Times New Roman" w:hAnsi="Times New Roman" w:cs="Times New Roman"/>
          <w:sz w:val="24"/>
          <w:szCs w:val="24"/>
        </w:rPr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Раздел 1000. СОЦИАЛЬНАЯ ПОЛИТИКА</w:t>
      </w:r>
    </w:p>
    <w:p w:rsidR="001070F3" w:rsidRPr="00912016" w:rsidRDefault="004E0F4D" w:rsidP="00030C1F">
      <w:pPr>
        <w:pStyle w:val="cs5e56cf0a"/>
        <w:spacing w:after="0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По разделу 1000 «Социальная политика» при плане на 2018 год в размере 64 746,1 тыс. рублей за отчетный период освоение составило 46 518,3 тыс. рублей или 71,8 % к годовому плану. </w:t>
      </w:r>
    </w:p>
    <w:p w:rsidR="001070F3" w:rsidRPr="00912016" w:rsidRDefault="004E0F4D" w:rsidP="00030C1F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1. По подразделу 1001 «Пенсионное обеспечение» осуществлены расходы в размере 1 581,8 тыс. рублей или 73,7 % к годовому плану на дополнительное ежемесячное обеспечение к пенсиям муниципальных служащих.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2. По подразделу 1003 «Социальное обеспечение населения» осуществлены расходы в размере 42 583,6 тыс. рублей или 71,7 % к годовому плану, в том числе: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1) В рамках реализации мероприятий подпрограммы «Социальная поддержка населения Арамильского городского округа в форме субсидий и компенсаций на оплату жилого помещения и коммунальных услуг» Муниципальной программы «Социальная поддержка населения Арамильского городского округа» до 2020 года»: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предоставление отдельным категориям граждан компенсаций расходов на оплату жилого помещения и коммунальных услуг, за счет средств федерального бюджета произведены расходы в размере 7 417,1 тыс. рублей или 80,8 % к годовому плану;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предоставление отдельным категориям граждан компенсаций расходов на оплату жилого помещения и коммунальных услуг за счет средств областного бюджета произведены расходы в размере 16 240,8 тыс. рублей или 68,9 % к годовому плану;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на предоставление гражданам субсидий на оплату жилого помещения и коммунальных услуг за счет средств областного бюджета произведены расходы в размере 6 755,2 тыс. рублей или 82,0 % к годовому плану.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2) За счет средств Резервного фонда Администрации Арамильского городского округа: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выплачена материальная помощь населению в связи с тяжелой жизненной ситуацией в размере 215,0 тыс. рублей.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3) </w:t>
      </w:r>
      <w:r w:rsidRPr="00912016">
        <w:rPr>
          <w:rStyle w:val="cs40178a721"/>
          <w:rFonts w:ascii="Times New Roman" w:hAnsi="Times New Roman" w:cs="Times New Roman"/>
        </w:rPr>
        <w:t>В рамках реализации мероприятий Муниципальной программы «Социальная поддержка населения Арамильского городского округа» до 2020 года» подпрограммы «Поддержка деятельности общественных объединений, действующих на территории Арамильского городского округа, и отдельных категорий граждан» осуществлены расходы:</w:t>
      </w:r>
    </w:p>
    <w:p w:rsidR="001070F3" w:rsidRPr="00912016" w:rsidRDefault="004E0F4D">
      <w:pPr>
        <w:pStyle w:val="csfc41765"/>
      </w:pPr>
      <w:r w:rsidRPr="00912016">
        <w:rPr>
          <w:rStyle w:val="cs40178a721"/>
          <w:rFonts w:ascii="Times New Roman" w:hAnsi="Times New Roman" w:cs="Times New Roman"/>
        </w:rPr>
        <w:t>- на выплаты почетным жителям Арамильского городского округа в размере 357,2 тыс. рублей;</w:t>
      </w:r>
    </w:p>
    <w:p w:rsidR="001070F3" w:rsidRPr="00912016" w:rsidRDefault="004E0F4D">
      <w:pPr>
        <w:pStyle w:val="csfc41765"/>
      </w:pPr>
      <w:r w:rsidRPr="00912016">
        <w:rPr>
          <w:rStyle w:val="cs40178a721"/>
          <w:rFonts w:ascii="Times New Roman" w:hAnsi="Times New Roman" w:cs="Times New Roman"/>
        </w:rPr>
        <w:t>- на поддержку деятельности общественных объединений действующих на территории Арамильского городского округа направлено 115,3 тыс. рублей или 53,1 % к утвержденному годовому плану.</w:t>
      </w:r>
    </w:p>
    <w:p w:rsidR="001070F3" w:rsidRPr="00912016" w:rsidRDefault="004E0F4D">
      <w:pPr>
        <w:pStyle w:val="csfc41765"/>
      </w:pPr>
      <w:r w:rsidRPr="00912016">
        <w:rPr>
          <w:rStyle w:val="cs40178a721"/>
          <w:rFonts w:ascii="Times New Roman" w:hAnsi="Times New Roman" w:cs="Times New Roman"/>
        </w:rPr>
        <w:t>4) В рамках реализации мероприятий Муниципальной программы «Социальная поддержка населения Арамильского городского округа» до 2020 года» подпрограммы «Обеспечение жильем молодых семей на территории Арамильского городского округа» за отчетный период осуществлены следующие расходы:</w:t>
      </w:r>
    </w:p>
    <w:p w:rsidR="001070F3" w:rsidRPr="00912016" w:rsidRDefault="004E0F4D">
      <w:pPr>
        <w:pStyle w:val="csfc41765"/>
      </w:pPr>
      <w:r w:rsidRPr="00912016">
        <w:rPr>
          <w:rStyle w:val="cs40178a721"/>
          <w:rFonts w:ascii="Times New Roman" w:hAnsi="Times New Roman" w:cs="Times New Roman"/>
        </w:rPr>
        <w:t>1) Социальную выплату получила</w:t>
      </w:r>
      <w:r w:rsidRPr="00912016">
        <w:rPr>
          <w:rStyle w:val="cs8926e061"/>
          <w:rFonts w:ascii="Times New Roman" w:hAnsi="Times New Roman" w:cs="Times New Roman"/>
        </w:rPr>
        <w:t xml:space="preserve"> 1 </w:t>
      </w:r>
      <w:r w:rsidRPr="00912016">
        <w:rPr>
          <w:rStyle w:val="cs40178a721"/>
          <w:rFonts w:ascii="Times New Roman" w:hAnsi="Times New Roman" w:cs="Times New Roman"/>
        </w:rPr>
        <w:t xml:space="preserve">молодая семья на приобретение (строительство) жилья </w:t>
      </w:r>
      <w:r w:rsidRPr="00912016">
        <w:rPr>
          <w:rStyle w:val="cs8926e061"/>
          <w:rFonts w:ascii="Times New Roman" w:hAnsi="Times New Roman" w:cs="Times New Roman"/>
        </w:rPr>
        <w:t>по сертификату, выданному в 2017 году, в том числе:</w:t>
      </w:r>
    </w:p>
    <w:p w:rsidR="001070F3" w:rsidRPr="00912016" w:rsidRDefault="004E0F4D">
      <w:pPr>
        <w:pStyle w:val="csfc41765"/>
      </w:pPr>
      <w:r w:rsidRPr="00912016">
        <w:rPr>
          <w:rStyle w:val="cs8926e061"/>
          <w:rFonts w:ascii="Times New Roman" w:hAnsi="Times New Roman" w:cs="Times New Roman"/>
        </w:rPr>
        <w:t>- за счет средств областного бюджета, предоставленных бюджету городского округа в виде субсидий на предоставление социальных выплат молодым семьям на приобретение (строительство) жилья, в размере 33,6 тыс. рублей или 100,0 % к утвержденному годовому плану;</w:t>
      </w:r>
    </w:p>
    <w:p w:rsidR="001070F3" w:rsidRPr="00912016" w:rsidRDefault="004E0F4D">
      <w:pPr>
        <w:pStyle w:val="csfc41765"/>
      </w:pPr>
      <w:r w:rsidRPr="00912016">
        <w:rPr>
          <w:rStyle w:val="cs8926e061"/>
          <w:rFonts w:ascii="Times New Roman" w:hAnsi="Times New Roman" w:cs="Times New Roman"/>
        </w:rPr>
        <w:t>- за счет средств местного бюджета в размере 597,7 тыс. рублей или 100,0 % к утвержденному годовому плану.</w:t>
      </w:r>
    </w:p>
    <w:p w:rsidR="001070F3" w:rsidRPr="00912016" w:rsidRDefault="004E0F4D">
      <w:pPr>
        <w:pStyle w:val="csfc41765"/>
      </w:pPr>
      <w:r w:rsidRPr="00912016">
        <w:rPr>
          <w:rStyle w:val="cs8926e061"/>
          <w:rFonts w:ascii="Times New Roman" w:hAnsi="Times New Roman" w:cs="Times New Roman"/>
        </w:rPr>
        <w:lastRenderedPageBreak/>
        <w:t>2) На социальные выплаты молодым семьям на улучшение жилищных условий в бюджете городского округа в 2018 году запланировано 16 829,9 тыс. рублей, из них освоено 10 731,5 % к утвержденному годовому плану.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По подразделу 1006 «Другие вопросы в области социальной политики» в течение отчетного периода осуществлялись расходы на обеспечение деятельности специалистов по предоставлению отдельным категориям граждан компенсаций расходов на оплату жилого помещения и коммунальных услуг и субсидий на оплату жилого помещения и коммунальных услуг и при уточненном годовом плане 3 239,4 тыс. рублей расходы составили 2 352,8 тыс. рублей или 72,6 % к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годовому плану. </w:t>
      </w:r>
    </w:p>
    <w:p w:rsidR="001070F3" w:rsidRPr="00912016" w:rsidRDefault="004E0F4D">
      <w:pPr>
        <w:pStyle w:val="csc67cfa75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Раздел 1100. ФИЗИЧЕСКАЯ КУЛЬТУРА И СПОРТ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Исполнение по разделу 1100 «Физическая культура и спорт» составило 10 824,7 тыс. рублей или 72,5 % к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по разделу «Физическая культура и спорт» были произведены следующие расходы: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1. Муниципальному бюджетному учреждению Центр развития физической культуры, спорта и молодежной политики «Созвездие» предоставлена субсидия на возмещение нормативных затрат, связанных с оказанием им, в соответствии с муниципальным заданием, муниципальных услуг в размере 10 692,9 тыс. рублей или 72,9 % к утвержденному годовому плану.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2. З</w:t>
      </w:r>
      <w:r w:rsidRPr="00912016">
        <w:rPr>
          <w:rStyle w:val="cs40178a721"/>
          <w:rFonts w:ascii="Times New Roman" w:hAnsi="Times New Roman" w:cs="Times New Roman"/>
        </w:rPr>
        <w:t>а счет средств резервного фонда Администрации Арамильского городского округа в первом полугодии 2018 года были осуществлены расходы на награждение участников спортивных отделений муниципальных учреждений Арамильского городского округа в размере 10,5 тыс. рублей</w:t>
      </w: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 w:rsidRPr="00912016">
        <w:rPr>
          <w:rStyle w:val="cs40178a721"/>
          <w:rFonts w:ascii="Times New Roman" w:hAnsi="Times New Roman" w:cs="Times New Roman"/>
        </w:rPr>
        <w:t>или 100,0 % к годовому плану.</w:t>
      </w:r>
    </w:p>
    <w:p w:rsidR="001070F3" w:rsidRPr="00912016" w:rsidRDefault="004E0F4D">
      <w:pPr>
        <w:pStyle w:val="csc67cfa75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Раздел 1200. СРЕДСТВА МАССОВОЙ ИНФОРМАЦИИ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По разделу 1200 «Средства массовой информации» запланированы расходы МБУ «Редакция газеты «Арамильские вести» на возмещение нормативных затрат, связанных с оказанием муниципальных услуг, в соответствии с муниципальным заданием в размере 1 715,0 тыс. рублей. За отчетный период расходы составили 1 290,5 тыс. рублей или 75,2% к годовому плану. </w:t>
      </w:r>
    </w:p>
    <w:p w:rsidR="001070F3" w:rsidRPr="00912016" w:rsidRDefault="004E0F4D">
      <w:pPr>
        <w:pStyle w:val="csc67cfa75"/>
      </w:pPr>
      <w:r w:rsidRPr="00912016">
        <w:rPr>
          <w:rStyle w:val="csdc4a801"/>
          <w:rFonts w:ascii="Times New Roman" w:hAnsi="Times New Roman" w:cs="Times New Roman"/>
          <w:sz w:val="24"/>
          <w:szCs w:val="24"/>
        </w:rPr>
        <w:t>Раздел 1300. ОБСЛУЖИВАНИЕ ГОСУДАРСТВЕННОГО И МУНИЦИПАЛЬНОГО ДОЛГА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Исполнение бюджета по подразделу 1301 «Обслуживание государственного внутреннего и муниципального долга» при годовом плане 25,4 тыс. рублей составило 16,7 тыс. рублей или 65,7 % к годовому плану.</w:t>
      </w:r>
      <w:r w:rsidRPr="00912016">
        <w:rPr>
          <w:rStyle w:val="cs41aa85431"/>
          <w:rFonts w:ascii="Times New Roman" w:hAnsi="Times New Roman" w:cs="Times New Roman"/>
          <w:sz w:val="24"/>
          <w:szCs w:val="24"/>
        </w:rPr>
        <w:t xml:space="preserve"> </w:t>
      </w:r>
    </w:p>
    <w:p w:rsidR="001070F3" w:rsidRPr="00912016" w:rsidRDefault="004E0F4D">
      <w:pPr>
        <w:pStyle w:val="cs7fb5c607"/>
      </w:pPr>
      <w:r w:rsidRPr="00912016">
        <w:rPr>
          <w:rStyle w:val="cs41aa85431"/>
          <w:rFonts w:ascii="Times New Roman" w:hAnsi="Times New Roman" w:cs="Times New Roman"/>
          <w:sz w:val="24"/>
          <w:szCs w:val="24"/>
        </w:rPr>
        <w:t>По данному подразделу предусмотрены расходы на выплату процентов по кредитам, предоставленным бюджету Арамильского городского округа из областного бюджета для частичного покрытия дефицита бюджета и для покрытия временного кассового разрыва, возникшего при исполнении местного бюджета.</w:t>
      </w:r>
    </w:p>
    <w:p w:rsidR="001070F3" w:rsidRPr="00912016" w:rsidRDefault="004E0F4D">
      <w:pPr>
        <w:pStyle w:val="cs2e86d3a6"/>
      </w:pPr>
      <w:r w:rsidRPr="00912016">
        <w:rPr>
          <w:rStyle w:val="cs5519f1861"/>
          <w:rFonts w:ascii="Times New Roman" w:hAnsi="Times New Roman" w:cs="Times New Roman"/>
          <w:sz w:val="24"/>
          <w:szCs w:val="24"/>
        </w:rPr>
        <w:t>Состояние дебиторской и кредиторской задолженности</w:t>
      </w:r>
    </w:p>
    <w:p w:rsidR="001070F3" w:rsidRPr="00912016" w:rsidRDefault="004E0F4D">
      <w:pPr>
        <w:pStyle w:val="cs7fb5c607"/>
      </w:pP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В течение отчетного периода кредиторская задолженность органов местного самоуправления и муниципальных казенных учреждений перед поставщиками и подрядчиками (без учета задолженности перед муниципальными бюджетными и автономными учреждениями по предоставлению им субсидий на выполнение муниципального задания и иные цели – счета учета 30241 в сумме 123 903,5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т.р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.) в целом уменьшилась на 32 481,0 тысячи рублей и на 1 октября 2018 года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составила 4 658,7 тысячи рублей, в то время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,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как на 01.01.2018г. она составляла 37 139,7 тысячи рублей.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Структура кредиторской задолженности: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за выполнение работ капитального характера и приобретение объектов основных средств – 1 813,1 тыс. рублей или 38,92 процента от общей суммы кредиторской задолженности;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текущая задолженность по заработной плате – 1 528,1 тыс. рублей или 32,80 процента от общей суммы кредиторской задолженности;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 xml:space="preserve">- по расчетам с внебюджетными фондами – 888,5 тыс. рублей или 19,07 процента от общей суммы кредиторской задолженности;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за работы по содержанию и ремонту имущества – 205,2 тыс. рублей или 4,41 процента от общей суммы кредиторской задолженности;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за оплату коммунальных услуг задолженность составила – 151,3 тыс. рублей или 3,25 процента от общей суммы кредиторской задолженности;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за выполнение прочих работ и услуг (в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т.ч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. по договорам с ФЛ) – 37,0 тыс. рублей или 0,79 процента от общей суммы кредиторской задолженности;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- налог на имущество – 20,1 тыс. рублей или 0,43 процента от общей суммы кредиторской задолженности;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задолженность по штрафным санкциям ИФНС (пени, штрафы) – 15,4 тыс. рублей или 0,33 процента от общей суммы кредиторской задолженности.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Основная сумма задолженности числится за ГРБС Администрация Арамильского городского округа – 2 220,3 тысячи рублей. За отчетный период она уменьшилась на 34 072,7 тыс. рублей.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Наиболее крупные кредиторы: ИП Фалалеев Е.В. за ремонт кровли в сумме 152,9 тыс. рублей и ОАО «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ЭнергосбытПлюс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» за поставку электроэнергии на уличное освещение в сумме 151,4 тыс. рублей (в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т.ч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просроченная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– 23,1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т.р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.).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Сумма просроченной кредиторской задолженности по состоянию на 01.10.2018 года составила 105,3 тыс. рублей.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Наряду с кредиторской задолженностью на 1 октября 2018 года отвлечены в дебиторскую задолженность бюджетные средства в размере 1 623,1 тысячи руб. Из них дебиторская задолженность Администрации АГО – 1 481,4 тысячи рублей.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Структура дебиторской задолженности: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задолженность Фонда социального страхования по оплате пособий по социальному страхованию – 1 359,8 тыс. рублей или 83,78 процента от общей суммы дебиторской задолженности;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авансовые платежи поставщикам основных средств – 81,7 тыс. рублей или 5,03 процента от общей суммы дебиторской задолженности;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авансовые платежи поставщикам услуг по ремонту муниципального имущества – 81,1 тыс. рублей или 5,00 процентов от общей суммы дебиторской задолженности;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авансовые платежи за аренду помещения – 44,7 тыс. рублей или 2,75 процента от общей суммы дебиторской задолженности;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авансовые платежи поставщикам прочих текущих услуг – 42,4 тыс. рублей или 2,61 процента от общей суммы дебиторской задолженности;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авансовые платежи по прочим расходам – 10,8 тыс. рублей или 0,67 процента от общей суммы дебиторской задолженности;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авансовые платежи поставщикам материальных запасов – 2,6 тыс. рублей или 0,16 процента от общей суммы дебиторской задолженности.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Просроченной дебиторской задолженности по состоянию на 01.10.2018 года нет. </w:t>
      </w:r>
    </w:p>
    <w:p w:rsidR="001070F3" w:rsidRPr="00912016" w:rsidRDefault="004E0F4D">
      <w:pPr>
        <w:pStyle w:val="cs2e86d3a6"/>
      </w:pPr>
      <w:r w:rsidRPr="00912016">
        <w:rPr>
          <w:rStyle w:val="cs1611372c1"/>
          <w:rFonts w:ascii="Times New Roman" w:hAnsi="Times New Roman" w:cs="Times New Roman"/>
          <w:sz w:val="24"/>
          <w:szCs w:val="24"/>
        </w:rPr>
        <w:t>Аналитическая информация по просроченной дебиторской и кредиторской задолженности к форме 0503369</w:t>
      </w:r>
    </w:p>
    <w:tbl>
      <w:tblPr>
        <w:tblW w:w="95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"/>
        <w:gridCol w:w="1769"/>
        <w:gridCol w:w="1361"/>
        <w:gridCol w:w="1559"/>
        <w:gridCol w:w="2111"/>
        <w:gridCol w:w="1639"/>
        <w:gridCol w:w="70"/>
      </w:tblGrid>
      <w:tr w:rsidR="001070F3" w:rsidRPr="00912016" w:rsidTr="00030C1F"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bookmarkStart w:id="0" w:name="_GoBack" w:colFirst="3" w:colLast="3"/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7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Сумма, просроченной задолженности</w:t>
            </w: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proofErr w:type="spellStart"/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выданы</w:t>
            </w:r>
            <w:proofErr w:type="spellEnd"/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 xml:space="preserve"> под отчет денежные средства для </w:t>
            </w:r>
            <w:proofErr w:type="spellStart"/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выплаты</w:t>
            </w: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 xml:space="preserve"> возникновения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Причины образования (документы-основания)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Меры, принятые к ликвидации задолженности</w:t>
            </w:r>
          </w:p>
        </w:tc>
        <w:tc>
          <w:tcPr>
            <w:tcW w:w="1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Планируемые сроки погашения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  <w:tr w:rsidR="001070F3" w:rsidRPr="00912016" w:rsidTr="00030C1F">
        <w:trPr>
          <w:trHeight w:val="48"/>
        </w:trPr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82b48371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82b48371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82b48371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82b48371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82b48371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82b48371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c>
          <w:tcPr>
            <w:tcW w:w="788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lastRenderedPageBreak/>
              <w:t>1.302.23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23 128,69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Отсутствие денежных средств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При уточнении бюджета на 2018г сумма будет включена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1.302.25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34 044,74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2015-2017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Отсутствие денежных средств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При уточнении бюджета на 2018г сумма будет включена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rPr>
          <w:trHeight w:val="70"/>
        </w:trPr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1.302.26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7 705,12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Отсутствие денежных средств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При уточнении бюджета на 2018г сумма будет включена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b0850c31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1.302.31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Отсутствие денежных средств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При уточнении бюджета на 2018г сумма будет включена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1.303.02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191,05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ef169d0f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Отсутствие денежных средств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При уточнении бюджета на 2018г. сумма будет включена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1.303.06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42,93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Отсутствие денежных средств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При уточнении бюджета на 2018г сумма будет включена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rPr>
          <w:trHeight w:val="1559"/>
        </w:trPr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1.303.07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3 085,40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Отсутствие денежных средств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При уточнении бюджета на 2018г сумма будет включена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rPr>
          <w:trHeight w:val="1158"/>
        </w:trPr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1.303.10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10 862,44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Отсутствие денежных средств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При уточнении бюджета на 2018г сумма будет включена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1.303.12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21 276,65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Отсутствие денежных средств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При уточнении бюджета на 2018г сумма будет включена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87c2d5b1"/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1b16eeb51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70F3" w:rsidRPr="00912016" w:rsidTr="00030C1F">
        <w:trPr>
          <w:trHeight w:val="48"/>
        </w:trPr>
        <w:tc>
          <w:tcPr>
            <w:tcW w:w="1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393807c91"/>
                <w:rFonts w:ascii="Times New Roman" w:hAnsi="Times New Roman" w:cs="Times New Roman"/>
                <w:sz w:val="24"/>
                <w:szCs w:val="24"/>
              </w:rPr>
              <w:t>105 337,02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926e061"/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926e061"/>
                <w:rFonts w:ascii="Times New Roman" w:hAnsi="Times New Roman" w:cs="Times New Roman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926e061"/>
                <w:rFonts w:ascii="Times New Roman" w:hAnsi="Times New Roman" w:cs="Times New Roman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926e061"/>
                <w:rFonts w:ascii="Times New Roman" w:hAnsi="Times New Roman" w:cs="Times New Roman"/>
              </w:rPr>
              <w:t> 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70F3" w:rsidRPr="00912016" w:rsidRDefault="004E0F4D">
            <w:pPr>
              <w:pStyle w:val="csdf125c2d"/>
            </w:pPr>
            <w:r w:rsidRPr="00912016">
              <w:rPr>
                <w:rStyle w:val="cs8926e061"/>
                <w:rFonts w:ascii="Times New Roman" w:hAnsi="Times New Roman" w:cs="Times New Roman"/>
              </w:rPr>
              <w:t> </w:t>
            </w:r>
          </w:p>
        </w:tc>
      </w:tr>
    </w:tbl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Более подробно аналитическая информация по просроченной задолженности представлена в таблице 2 форм 0503169. </w:t>
      </w:r>
    </w:p>
    <w:p w:rsidR="001070F3" w:rsidRPr="00912016" w:rsidRDefault="004E0F4D">
      <w:pPr>
        <w:pStyle w:val="cs7fb5c607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По состоянию на 01.10.2018г. имеется задолженность городского округа по остаткам межбюджетных трансфертов на сумму 6 656 740,01 рубля.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Просроченная дебиторская задолженность населения и организаций перед налоговым органом по средствам (налогам, пени, штрафам), администрируемым ИФНС – 40 109 612,78 рубля. Сумма кредиторской задолженности составляет 19 883 087,71 рубля.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Просроченная дебиторская задолженность 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перед Министерством финансов СО по штрафам за нарушение законодательства о контрактной системе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 в сфере закупок составляет 13 750,00 рубля. Кредиторская задолженность составила 3 000,00 руб.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На 01.10.2018 года на счетах местного бюджета числятся остатки сре</w:t>
      </w:r>
      <w:proofErr w:type="gram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умме 13 893 956,02 руб., в </w:t>
      </w:r>
      <w:proofErr w:type="spellStart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т.ч</w:t>
      </w:r>
      <w:proofErr w:type="spellEnd"/>
      <w:r w:rsidRPr="00912016">
        <w:rPr>
          <w:rStyle w:val="cs1b16eeb51"/>
          <w:rFonts w:ascii="Times New Roman" w:hAnsi="Times New Roman" w:cs="Times New Roman"/>
          <w:sz w:val="24"/>
          <w:szCs w:val="24"/>
        </w:rPr>
        <w:t xml:space="preserve">. целевых средств вышестоящих бюджетов в сумме 6 656 740,01 рубля. В том числе: 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lastRenderedPageBreak/>
        <w:t>- субсидии на реализацию мероприятий по поэтапному внедрению Всероссийского физкультурно-спортивного комплекса «Готов к труду и обороне» (ГТО) – 95 700,00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субсидии на организацию отдыха детей в каникулярное время, включая мероприятия по обеспечению безопасности их жизни и здоровья – 24 540,00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субсидии на реализацию мер по обеспечению целевых показателей по повышению оплаты труда работников муниципальных учреждений культуры – 920 200,00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субсидии на реализацию мер по обеспечению целевых показателей по повышению оплаты труда работников муниципальных архивных учреждениях – 31 623,00 рубля;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субсидии на укрепление МБТ муниципальных учреждений по работе с молодежью – 470 400,00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– 1 205 537,63 рубля;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субвенции на осуществление полномочий Свердловской области по организации проведения мероприятий по отлову и содержанию безнадзорных собак – 274 054,37 рубля;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субвенции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 - 100,00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субвенции на осуществление государственного полномочия по созданию административных комиссий – 43 321,42 рубля;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субвенции бюджетам городских округов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 – 2 210 962,24 рубля;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 – 81 420,00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субвенции для финансирования расходов на осуществление государственных полномочий по первичному воинскому учету на территориях, где отсутствуют военные комиссариаты – 261 393,19 рубля;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субвенции на осуществление государственных полномочий по составлению списков кандидатов в присяжные заседатели федеральных судов общей юрисдикции – 25 600,00 рублей;</w:t>
      </w:r>
    </w:p>
    <w:p w:rsidR="001070F3" w:rsidRPr="00912016" w:rsidRDefault="004E0F4D">
      <w:pPr>
        <w:pStyle w:val="csfc41765"/>
      </w:pPr>
      <w:r w:rsidRPr="00912016">
        <w:rPr>
          <w:rStyle w:val="cs1b16eeb51"/>
          <w:rFonts w:ascii="Times New Roman" w:hAnsi="Times New Roman" w:cs="Times New Roman"/>
          <w:sz w:val="24"/>
          <w:szCs w:val="24"/>
        </w:rPr>
        <w:t>- 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– 864 897,36 рубля;</w:t>
      </w:r>
    </w:p>
    <w:p w:rsidR="001070F3" w:rsidRDefault="004E0F4D">
      <w:pPr>
        <w:pStyle w:val="csfc41765"/>
        <w:rPr>
          <w:rStyle w:val="cs41aa85431"/>
          <w:rFonts w:ascii="Times New Roman" w:hAnsi="Times New Roman" w:cs="Times New Roman"/>
          <w:sz w:val="24"/>
          <w:szCs w:val="24"/>
        </w:rPr>
      </w:pPr>
      <w:r w:rsidRPr="00912016">
        <w:rPr>
          <w:rStyle w:val="cs41aa85431"/>
          <w:rFonts w:ascii="Times New Roman" w:hAnsi="Times New Roman" w:cs="Times New Roman"/>
          <w:sz w:val="24"/>
          <w:szCs w:val="24"/>
        </w:rPr>
        <w:t xml:space="preserve">- иные межбюджетные трансферты на обеспечение оплаты труда работников муниципальных учреждений в размере не ниже минимального </w:t>
      </w:r>
      <w:proofErr w:type="gramStart"/>
      <w:r w:rsidRPr="00912016">
        <w:rPr>
          <w:rStyle w:val="cs41aa85431"/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912016">
        <w:rPr>
          <w:rStyle w:val="cs41aa85431"/>
          <w:rFonts w:ascii="Times New Roman" w:hAnsi="Times New Roman" w:cs="Times New Roman"/>
          <w:sz w:val="24"/>
          <w:szCs w:val="24"/>
        </w:rPr>
        <w:t xml:space="preserve"> – 146 990,80 рубля.</w:t>
      </w:r>
    </w:p>
    <w:p w:rsidR="006F1236" w:rsidRDefault="006F1236">
      <w:pPr>
        <w:pStyle w:val="csfc41765"/>
        <w:rPr>
          <w:rStyle w:val="cs41aa85431"/>
          <w:rFonts w:ascii="Times New Roman" w:hAnsi="Times New Roman" w:cs="Times New Roman"/>
          <w:sz w:val="24"/>
          <w:szCs w:val="24"/>
        </w:rPr>
      </w:pPr>
    </w:p>
    <w:sectPr w:rsidR="006F1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31905"/>
    <w:rsid w:val="00030C1F"/>
    <w:rsid w:val="001070F3"/>
    <w:rsid w:val="001F54B8"/>
    <w:rsid w:val="004E0F4D"/>
    <w:rsid w:val="006F1236"/>
    <w:rsid w:val="00912016"/>
    <w:rsid w:val="00E3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csbbe17010">
    <w:name w:val="csbbe17010"/>
    <w:basedOn w:val="a"/>
    <w:pPr>
      <w:spacing w:before="100" w:beforeAutospacing="1" w:after="100" w:afterAutospacing="1"/>
    </w:pPr>
  </w:style>
  <w:style w:type="paragraph" w:customStyle="1" w:styleId="cs1157ffe2">
    <w:name w:val="cs1157ffe2"/>
    <w:basedOn w:val="a"/>
    <w:pPr>
      <w:jc w:val="right"/>
    </w:pPr>
  </w:style>
  <w:style w:type="paragraph" w:customStyle="1" w:styleId="csbf6fa772">
    <w:name w:val="csbf6fa772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cs11b301c0">
    <w:name w:val="cs11b301c0"/>
    <w:basedOn w:val="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cscfdaf666">
    <w:name w:val="cscfdaf666"/>
    <w:basedOn w:val="a"/>
    <w:pPr>
      <w:spacing w:before="100" w:beforeAutospacing="1" w:after="100" w:afterAutospacing="1"/>
      <w:ind w:left="93"/>
    </w:pPr>
  </w:style>
  <w:style w:type="paragraph" w:customStyle="1" w:styleId="csee2ab4fa">
    <w:name w:val="csee2ab4fa"/>
    <w:basedOn w:val="a"/>
    <w:pPr>
      <w:spacing w:before="100" w:beforeAutospacing="1" w:after="100" w:afterAutospacing="1"/>
    </w:pPr>
  </w:style>
  <w:style w:type="paragraph" w:customStyle="1" w:styleId="cs2e86d3a6">
    <w:name w:val="cs2e86d3a6"/>
    <w:basedOn w:val="a"/>
    <w:pPr>
      <w:jc w:val="center"/>
    </w:pPr>
  </w:style>
  <w:style w:type="paragraph" w:customStyle="1" w:styleId="cs1703897e">
    <w:name w:val="cs1703897e"/>
    <w:basedOn w:val="a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cs43bc4257">
    <w:name w:val="cs43bc4257"/>
    <w:basedOn w:val="a"/>
    <w:pPr>
      <w:spacing w:before="100" w:beforeAutospacing="1" w:after="100" w:afterAutospacing="1"/>
    </w:pPr>
  </w:style>
  <w:style w:type="paragraph" w:customStyle="1" w:styleId="cs95e872d0">
    <w:name w:val="cs95e872d0"/>
    <w:basedOn w:val="a"/>
  </w:style>
  <w:style w:type="paragraph" w:customStyle="1" w:styleId="cs8926e06">
    <w:name w:val="cs8926e06"/>
    <w:basedOn w:val="a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csd4c2a85c">
    <w:name w:val="csd4c2a85c"/>
    <w:basedOn w:val="a"/>
    <w:pPr>
      <w:spacing w:before="100" w:beforeAutospacing="1" w:after="100" w:afterAutospacing="1"/>
    </w:pPr>
  </w:style>
  <w:style w:type="paragraph" w:customStyle="1" w:styleId="cs57b35ac2">
    <w:name w:val="cs57b35ac2"/>
    <w:basedOn w:val="a"/>
    <w:pPr>
      <w:spacing w:before="100" w:beforeAutospacing="1" w:after="100" w:afterAutospacing="1"/>
    </w:pPr>
  </w:style>
  <w:style w:type="paragraph" w:customStyle="1" w:styleId="csda59a577">
    <w:name w:val="csda59a577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cc47389a">
    <w:name w:val="cscc47389a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cse35a2ca7">
    <w:name w:val="cse35a2ca7"/>
    <w:basedOn w:val="a"/>
    <w:pPr>
      <w:spacing w:before="100" w:beforeAutospacing="1" w:after="100" w:afterAutospacing="1"/>
    </w:pPr>
  </w:style>
  <w:style w:type="paragraph" w:customStyle="1" w:styleId="csbdea95ff">
    <w:name w:val="csbdea95ff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d503890a">
    <w:name w:val="csd503890a"/>
    <w:basedOn w:val="a"/>
    <w:pPr>
      <w:spacing w:before="100" w:beforeAutospacing="1" w:after="100" w:afterAutospacing="1"/>
      <w:jc w:val="right"/>
    </w:pPr>
  </w:style>
  <w:style w:type="paragraph" w:customStyle="1" w:styleId="cs401a5869">
    <w:name w:val="cs401a5869"/>
    <w:basedOn w:val="a"/>
    <w:pPr>
      <w:spacing w:before="100" w:beforeAutospacing="1" w:after="100" w:afterAutospacing="1"/>
    </w:pPr>
    <w:rPr>
      <w:color w:val="000000"/>
      <w:sz w:val="18"/>
      <w:szCs w:val="18"/>
      <w:u w:val="single"/>
    </w:rPr>
  </w:style>
  <w:style w:type="paragraph" w:customStyle="1" w:styleId="cs36b84719">
    <w:name w:val="cs36b84719"/>
    <w:basedOn w:val="a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7fb5c607">
    <w:name w:val="cs7fb5c607"/>
    <w:basedOn w:val="a"/>
    <w:pPr>
      <w:ind w:firstLine="720"/>
      <w:jc w:val="both"/>
    </w:pPr>
  </w:style>
  <w:style w:type="paragraph" w:customStyle="1" w:styleId="cs1b16eeb5">
    <w:name w:val="cs1b16eeb5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csfc41765">
    <w:name w:val="csfc41765"/>
    <w:basedOn w:val="a"/>
    <w:pPr>
      <w:ind w:firstLine="700"/>
      <w:jc w:val="both"/>
    </w:pPr>
  </w:style>
  <w:style w:type="paragraph" w:customStyle="1" w:styleId="csdc4a80">
    <w:name w:val="csdc4a80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cs5bec2c28">
    <w:name w:val="cs5bec2c28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cs9d249ccb">
    <w:name w:val="cs9d249ccb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csc38c7789">
    <w:name w:val="csc38c7789"/>
    <w:basedOn w:val="a"/>
    <w:pPr>
      <w:ind w:firstLine="700"/>
    </w:pPr>
  </w:style>
  <w:style w:type="paragraph" w:customStyle="1" w:styleId="csd4c7bd78">
    <w:name w:val="csd4c7bd78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8"/>
      <w:szCs w:val="28"/>
    </w:rPr>
  </w:style>
  <w:style w:type="paragraph" w:customStyle="1" w:styleId="cs93f6f0eb">
    <w:name w:val="cs93f6f0eb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3"/>
      <w:szCs w:val="23"/>
    </w:rPr>
  </w:style>
  <w:style w:type="paragraph" w:customStyle="1" w:styleId="cs3266721a">
    <w:name w:val="cs3266721a"/>
    <w:basedOn w:val="a"/>
    <w:pPr>
      <w:ind w:firstLine="560"/>
      <w:jc w:val="both"/>
    </w:pPr>
  </w:style>
  <w:style w:type="paragraph" w:customStyle="1" w:styleId="csc67cfa75">
    <w:name w:val="csc67cfa75"/>
    <w:basedOn w:val="a"/>
    <w:pPr>
      <w:ind w:firstLine="720"/>
      <w:jc w:val="center"/>
    </w:pPr>
  </w:style>
  <w:style w:type="paragraph" w:customStyle="1" w:styleId="cs88b29851">
    <w:name w:val="cs88b29851"/>
    <w:basedOn w:val="a"/>
    <w:pPr>
      <w:ind w:firstLine="760"/>
      <w:jc w:val="both"/>
    </w:pPr>
  </w:style>
  <w:style w:type="paragraph" w:customStyle="1" w:styleId="cs6c847bfc">
    <w:name w:val="cs6c847bfc"/>
    <w:basedOn w:val="a"/>
    <w:pPr>
      <w:spacing w:before="100" w:beforeAutospacing="1" w:after="100" w:afterAutospacing="1"/>
    </w:pPr>
    <w:rPr>
      <w:rFonts w:ascii="Calibri" w:hAnsi="Calibri" w:cs="Calibri"/>
      <w:color w:val="FF0000"/>
      <w:sz w:val="22"/>
      <w:szCs w:val="22"/>
    </w:rPr>
  </w:style>
  <w:style w:type="paragraph" w:customStyle="1" w:styleId="cs5519f186">
    <w:name w:val="cs5519f186"/>
    <w:basedOn w:val="a"/>
    <w:pPr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csc5f53424">
    <w:name w:val="csc5f53424"/>
    <w:basedOn w:val="a"/>
    <w:pPr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</w:rPr>
  </w:style>
  <w:style w:type="paragraph" w:customStyle="1" w:styleId="csd728fcc8">
    <w:name w:val="csd728fcc8"/>
    <w:basedOn w:val="a"/>
    <w:pPr>
      <w:spacing w:before="100" w:beforeAutospacing="1" w:after="100" w:afterAutospacing="1"/>
      <w:ind w:left="-147"/>
    </w:pPr>
  </w:style>
  <w:style w:type="paragraph" w:customStyle="1" w:styleId="csc4d4da5d">
    <w:name w:val="csc4d4da5d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d2d898e4">
    <w:name w:val="csd2d898e4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df125c2d">
    <w:name w:val="csdf125c2d"/>
    <w:basedOn w:val="a"/>
    <w:pPr>
      <w:shd w:val="clear" w:color="auto" w:fill="FFFFFF"/>
    </w:pPr>
  </w:style>
  <w:style w:type="paragraph" w:customStyle="1" w:styleId="cs8292e9ae">
    <w:name w:val="cs8292e9ae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7829b6dc">
    <w:name w:val="cs7829b6dc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1b5e8fab">
    <w:name w:val="cs1b5e8fab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6fdb243">
    <w:name w:val="cs6fdb243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9dee07d0">
    <w:name w:val="cs9dee07d0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66db5011">
    <w:name w:val="cs66db5011"/>
    <w:basedOn w:val="a"/>
    <w:pPr>
      <w:ind w:firstLine="700"/>
      <w:jc w:val="center"/>
    </w:pPr>
  </w:style>
  <w:style w:type="paragraph" w:customStyle="1" w:styleId="csd98c70ab">
    <w:name w:val="csd98c70ab"/>
    <w:basedOn w:val="a"/>
    <w:pPr>
      <w:ind w:left="700" w:firstLine="720"/>
      <w:jc w:val="both"/>
    </w:pPr>
  </w:style>
  <w:style w:type="paragraph" w:customStyle="1" w:styleId="csd23326cc">
    <w:name w:val="csd23326cc"/>
    <w:basedOn w:val="a"/>
    <w:pPr>
      <w:ind w:firstLine="1420"/>
      <w:jc w:val="both"/>
    </w:pPr>
  </w:style>
  <w:style w:type="paragraph" w:customStyle="1" w:styleId="csae06bbdb">
    <w:name w:val="csae06bbdb"/>
    <w:basedOn w:val="a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cs5e56cf0a">
    <w:name w:val="cs5e56cf0a"/>
    <w:basedOn w:val="a"/>
    <w:pPr>
      <w:spacing w:after="240"/>
      <w:ind w:firstLine="720"/>
      <w:jc w:val="center"/>
    </w:pPr>
  </w:style>
  <w:style w:type="paragraph" w:customStyle="1" w:styleId="cs41aa8543">
    <w:name w:val="cs41aa8543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cs40178a72">
    <w:name w:val="cs40178a72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cs1611372c">
    <w:name w:val="cs1611372c"/>
    <w:basedOn w:val="a"/>
    <w:pPr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  <w:sz w:val="22"/>
      <w:szCs w:val="22"/>
    </w:rPr>
  </w:style>
  <w:style w:type="paragraph" w:customStyle="1" w:styleId="csfe4d02a1">
    <w:name w:val="csfe4d02a1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887c2d5b">
    <w:name w:val="cs887c2d5b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csf964c622">
    <w:name w:val="csf964c622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95f3f432">
    <w:name w:val="cs95f3f432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7f16e681">
    <w:name w:val="cs7f16e681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587bac6f">
    <w:name w:val="cs587bac6f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27c44d77">
    <w:name w:val="cs27c44d77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fcf1706a">
    <w:name w:val="csfcf1706a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a66d178">
    <w:name w:val="cs6a66d178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82b48371">
    <w:name w:val="cs82b48371"/>
    <w:basedOn w:val="a"/>
    <w:pPr>
      <w:shd w:val="clear" w:color="auto" w:fill="FFFFFF"/>
      <w:jc w:val="center"/>
    </w:pPr>
  </w:style>
  <w:style w:type="paragraph" w:customStyle="1" w:styleId="cs5a47baae">
    <w:name w:val="cs5a47baae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628d9ec7">
    <w:name w:val="cs628d9ec7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c2bcfce">
    <w:name w:val="cs1c2bcfce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4928548">
    <w:name w:val="cs14928548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a069ace3">
    <w:name w:val="csa069ace3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5f94a3a">
    <w:name w:val="cs15f94a3a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393807c9">
    <w:name w:val="cs393807c9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csb0850c31">
    <w:name w:val="csb0850c31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8"/>
      <w:szCs w:val="8"/>
    </w:rPr>
  </w:style>
  <w:style w:type="paragraph" w:customStyle="1" w:styleId="csef169d0f">
    <w:name w:val="csef169d0f"/>
    <w:basedOn w:val="a"/>
    <w:pPr>
      <w:shd w:val="clear" w:color="auto" w:fill="FFFFFF"/>
      <w:jc w:val="both"/>
    </w:pPr>
  </w:style>
  <w:style w:type="paragraph" w:customStyle="1" w:styleId="cseffc2178">
    <w:name w:val="cseffc2178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a7c5ac0d">
    <w:name w:val="csa7c5ac0d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c18af59b">
    <w:name w:val="csc18af59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f0082dd">
    <w:name w:val="csff0082dd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d793d935">
    <w:name w:val="csd793d935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7fdc18d8">
    <w:name w:val="cs7fdc18d8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f031c12">
    <w:name w:val="csff031c12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297468aa">
    <w:name w:val="cs297468aa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9c814bc">
    <w:name w:val="cs69c814bc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c593497b">
    <w:name w:val="csc593497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793dbda6">
    <w:name w:val="cs793dbda6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eeb7c333">
    <w:name w:val="cseeb7c333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1a5d7991">
    <w:name w:val="cs1a5d799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5f48fd36">
    <w:name w:val="cs5f48fd36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e07b354">
    <w:name w:val="csfe07b354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1592fa7f">
    <w:name w:val="cs1592fa7f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3d783932">
    <w:name w:val="cs3d783932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b6023363">
    <w:name w:val="csb6023363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692e02b">
    <w:name w:val="cs6692e02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e4c8b37d">
    <w:name w:val="cse4c8b37d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</w:rPr>
  </w:style>
  <w:style w:type="paragraph" w:customStyle="1" w:styleId="cs524392b7">
    <w:name w:val="cs524392b7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cs80d9435b">
    <w:name w:val="cs80d9435b"/>
    <w:basedOn w:val="a"/>
    <w:pPr>
      <w:jc w:val="both"/>
    </w:pPr>
  </w:style>
  <w:style w:type="paragraph" w:customStyle="1" w:styleId="cs2d06209c">
    <w:name w:val="cs2d06209c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9e3c48e3">
    <w:name w:val="cs9e3c48e3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16"/>
      <w:szCs w:val="16"/>
    </w:rPr>
  </w:style>
  <w:style w:type="paragraph" w:customStyle="1" w:styleId="cs58c50fe5">
    <w:name w:val="cs58c50fe5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2262a908">
    <w:name w:val="cs2262a908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4982d0d">
    <w:name w:val="cs4982d0d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fa644714">
    <w:name w:val="csfa644714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83a5e865">
    <w:name w:val="cs83a5e865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48ead85e">
    <w:name w:val="cs48ead85e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97ef4e27">
    <w:name w:val="cs97ef4e27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csf2138a75">
    <w:name w:val="csf2138a75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c6c25c2d">
    <w:name w:val="csc6c25c2d"/>
    <w:basedOn w:val="a"/>
    <w:pPr>
      <w:shd w:val="clear" w:color="auto" w:fill="EFEFFF"/>
    </w:pPr>
  </w:style>
  <w:style w:type="paragraph" w:customStyle="1" w:styleId="cs25ad6ec7">
    <w:name w:val="cs25ad6ec7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  <w:u w:val="single"/>
    </w:rPr>
  </w:style>
  <w:style w:type="paragraph" w:customStyle="1" w:styleId="cs28db711e">
    <w:name w:val="cs28db711e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c2e97d28">
    <w:name w:val="csc2e97d28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3348c02f">
    <w:name w:val="cs3348c02f"/>
    <w:basedOn w:val="a"/>
    <w:pPr>
      <w:shd w:val="clear" w:color="auto" w:fill="EFEFFF"/>
      <w:jc w:val="right"/>
    </w:pPr>
  </w:style>
  <w:style w:type="paragraph" w:customStyle="1" w:styleId="csbb08424">
    <w:name w:val="csbb08424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7991b025">
    <w:name w:val="cs7991b025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5f2d9df4">
    <w:name w:val="cs5f2d9df4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40b699d0">
    <w:name w:val="cs40b699d0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402cf895">
    <w:name w:val="cs402cf895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772710bf">
    <w:name w:val="cs772710bf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75707674">
    <w:name w:val="cs75707674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d7096657">
    <w:name w:val="csd7096657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9cda9523">
    <w:name w:val="cs9cda9523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bee9f5dd">
    <w:name w:val="csbee9f5dd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48cf2b90">
    <w:name w:val="cs48cf2b90"/>
    <w:basedOn w:val="a"/>
    <w:pPr>
      <w:ind w:firstLine="900"/>
    </w:pPr>
  </w:style>
  <w:style w:type="paragraph" w:customStyle="1" w:styleId="csd52a8d0f">
    <w:name w:val="csd52a8d0f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c76651e3">
    <w:name w:val="csc76651e3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5825bcbd">
    <w:name w:val="cs5825bcbd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2096446f">
    <w:name w:val="cs2096446f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c30a500a">
    <w:name w:val="csc30a500a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e5112b15">
    <w:name w:val="cse5112b15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94bfa29d">
    <w:name w:val="cs94bfa29d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b119629f">
    <w:name w:val="csb119629f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7f27f9d3">
    <w:name w:val="cs7f27f9d3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84d4762d">
    <w:name w:val="cs84d4762d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f7b25925">
    <w:name w:val="csf7b25925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4a7835f0">
    <w:name w:val="cs4a7835f0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13cce483">
    <w:name w:val="cs13cce483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5207513b">
    <w:name w:val="cs5207513b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3553c01f">
    <w:name w:val="cs3553c01f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572cd1f3">
    <w:name w:val="cs572cd1f3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d91c81a9">
    <w:name w:val="csd91c81a9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de91bbd2">
    <w:name w:val="csde91bbd2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ea27acd7">
    <w:name w:val="csea27acd7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12"/>
      <w:szCs w:val="12"/>
    </w:rPr>
  </w:style>
  <w:style w:type="paragraph" w:customStyle="1" w:styleId="cs485757e0">
    <w:name w:val="cs485757e0"/>
    <w:basedOn w:val="a"/>
    <w:pPr>
      <w:ind w:firstLine="900"/>
      <w:jc w:val="both"/>
    </w:pPr>
  </w:style>
  <w:style w:type="paragraph" w:customStyle="1" w:styleId="cs80b925e6">
    <w:name w:val="cs80b925e6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c7d68371">
    <w:name w:val="csc7d68371"/>
    <w:basedOn w:val="a"/>
    <w:pPr>
      <w:shd w:val="clear" w:color="auto" w:fill="EFEFFF"/>
      <w:jc w:val="center"/>
    </w:pPr>
  </w:style>
  <w:style w:type="paragraph" w:customStyle="1" w:styleId="csb59b11bf">
    <w:name w:val="csb59b11bf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36146988">
    <w:name w:val="cs36146988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a7ad800d">
    <w:name w:val="csa7ad800d"/>
    <w:basedOn w:val="a"/>
    <w:pPr>
      <w:spacing w:before="100" w:beforeAutospacing="1" w:after="100" w:afterAutospacing="1"/>
    </w:pPr>
    <w:rPr>
      <w:rFonts w:ascii="Calibri" w:hAnsi="Calibri" w:cs="Calibri"/>
      <w:color w:val="0563C1"/>
      <w:sz w:val="16"/>
      <w:szCs w:val="16"/>
      <w:u w:val="single"/>
    </w:rPr>
  </w:style>
  <w:style w:type="paragraph" w:customStyle="1" w:styleId="cs3c136324">
    <w:name w:val="cs3c136324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dc89e173">
    <w:name w:val="csdc89e173"/>
    <w:basedOn w:val="a"/>
    <w:pPr>
      <w:spacing w:before="100" w:beforeAutospacing="1" w:after="100" w:afterAutospacing="1"/>
    </w:pPr>
    <w:rPr>
      <w:rFonts w:ascii="Calibri" w:hAnsi="Calibri" w:cs="Calibri"/>
      <w:color w:val="0000FF"/>
      <w:sz w:val="16"/>
      <w:szCs w:val="16"/>
      <w:u w:val="single"/>
    </w:rPr>
  </w:style>
  <w:style w:type="paragraph" w:customStyle="1" w:styleId="csaa8d31cf">
    <w:name w:val="csaa8d31cf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b60f3478">
    <w:name w:val="csb60f3478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80275571">
    <w:name w:val="cs80275571"/>
    <w:basedOn w:val="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csbdf236">
    <w:name w:val="csbdf236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d1e39e2c">
    <w:name w:val="csd1e39e2c"/>
    <w:basedOn w:val="a"/>
    <w:pPr>
      <w:pBdr>
        <w:top w:val="single" w:sz="8" w:space="0" w:color="808080"/>
      </w:pBdr>
      <w:spacing w:before="100" w:beforeAutospacing="1" w:after="100" w:afterAutospacing="1"/>
    </w:pPr>
  </w:style>
  <w:style w:type="paragraph" w:customStyle="1" w:styleId="cs73948854">
    <w:name w:val="cs73948854"/>
    <w:basedOn w:val="a"/>
    <w:pPr>
      <w:pBdr>
        <w:top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8aa0bd54">
    <w:name w:val="cs8aa0bd54"/>
    <w:basedOn w:val="a"/>
    <w:pPr>
      <w:pBdr>
        <w:left w:val="single" w:sz="8" w:space="5" w:color="80808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de0731bd">
    <w:name w:val="csde0731bd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ecadd67">
    <w:name w:val="csecadd67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5d7c8d72">
    <w:name w:val="cs5d7c8d72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319c176e">
    <w:name w:val="cs319c176e"/>
    <w:basedOn w:val="a"/>
    <w:pPr>
      <w:pBdr>
        <w:top w:val="single" w:sz="8" w:space="0" w:color="80808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ce3109e0">
    <w:name w:val="csce3109e0"/>
    <w:basedOn w:val="a"/>
    <w:pPr>
      <w:pBdr>
        <w:top w:val="single" w:sz="8" w:space="0" w:color="808080"/>
        <w:bottom w:val="single" w:sz="8" w:space="0" w:color="00000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1d89b04e">
    <w:name w:val="cs1d89b04e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cd3f127b">
    <w:name w:val="cscd3f127b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e10737de">
    <w:name w:val="cse10737de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1255ce37">
    <w:name w:val="cs1255ce37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2eb6e56f">
    <w:name w:val="cs2eb6e56f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b6d9a87b">
    <w:name w:val="csb6d9a87b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ed4f3f0d">
    <w:name w:val="csed4f3f0d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efb023b2">
    <w:name w:val="csefb023b2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f0b8d472">
    <w:name w:val="csf0b8d472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3cac91aa">
    <w:name w:val="cs3cac91aa"/>
    <w:basedOn w:val="a"/>
    <w:pPr>
      <w:pBdr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97c1239d">
    <w:name w:val="cs97c1239d"/>
    <w:basedOn w:val="a"/>
    <w:pPr>
      <w:pBdr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b27b7420">
    <w:name w:val="csb27b7420"/>
    <w:basedOn w:val="a"/>
    <w:pPr>
      <w:pBdr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b57c9a99">
    <w:name w:val="csb57c9a99"/>
    <w:basedOn w:val="a"/>
    <w:pPr>
      <w:shd w:val="clear" w:color="auto" w:fill="FFFFFF"/>
      <w:jc w:val="right"/>
    </w:pPr>
  </w:style>
  <w:style w:type="paragraph" w:customStyle="1" w:styleId="cs4b208470">
    <w:name w:val="cs4b208470"/>
    <w:basedOn w:val="a"/>
    <w:pPr>
      <w:spacing w:before="100" w:beforeAutospacing="1" w:after="100" w:afterAutospacing="1"/>
      <w:ind w:left="96"/>
    </w:pPr>
  </w:style>
  <w:style w:type="paragraph" w:customStyle="1" w:styleId="cs1de315fb">
    <w:name w:val="cs1de315fb"/>
    <w:basedOn w:val="a"/>
    <w:pPr>
      <w:spacing w:before="100" w:beforeAutospacing="1" w:after="100" w:afterAutospacing="1"/>
    </w:pPr>
  </w:style>
  <w:style w:type="paragraph" w:customStyle="1" w:styleId="cs3dcdd91d">
    <w:name w:val="cs3dcdd91d"/>
    <w:basedOn w:val="a"/>
    <w:pPr>
      <w:spacing w:before="100" w:beforeAutospacing="1" w:after="100" w:afterAutospacing="1"/>
    </w:pPr>
  </w:style>
  <w:style w:type="paragraph" w:customStyle="1" w:styleId="cs49fd2a61">
    <w:name w:val="cs49fd2a61"/>
    <w:basedOn w:val="a"/>
    <w:pPr>
      <w:spacing w:before="100" w:beforeAutospacing="1" w:after="100" w:afterAutospacing="1"/>
    </w:pPr>
    <w:rPr>
      <w:color w:val="000000"/>
      <w:sz w:val="20"/>
      <w:szCs w:val="20"/>
      <w:u w:val="single"/>
    </w:rPr>
  </w:style>
  <w:style w:type="character" w:customStyle="1" w:styleId="csbf6fa7721">
    <w:name w:val="csbf6fa772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11b301c01">
    <w:name w:val="cs11b301c01"/>
    <w:basedOn w:val="a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  <w:shd w:val="clear" w:color="auto" w:fill="auto"/>
    </w:rPr>
  </w:style>
  <w:style w:type="character" w:customStyle="1" w:styleId="cs1703897e1">
    <w:name w:val="cs1703897e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8926e061">
    <w:name w:val="cs8926e061"/>
    <w:basedOn w:val="a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cc47389a1">
    <w:name w:val="cscc47389a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  <w:shd w:val="clear" w:color="auto" w:fill="auto"/>
    </w:rPr>
  </w:style>
  <w:style w:type="character" w:customStyle="1" w:styleId="cs401a58691">
    <w:name w:val="cs401a5869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  <w:u w:val="single"/>
      <w:shd w:val="clear" w:color="auto" w:fill="auto"/>
    </w:rPr>
  </w:style>
  <w:style w:type="character" w:customStyle="1" w:styleId="cs1b16eeb51">
    <w:name w:val="cs1b16eeb51"/>
    <w:basedOn w:val="a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dc4a801">
    <w:name w:val="csdc4a801"/>
    <w:basedOn w:val="a0"/>
    <w:rPr>
      <w:rFonts w:ascii="Calibri" w:hAnsi="Calibri" w:cs="Calibri" w:hint="default"/>
      <w:b/>
      <w:bCs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5bec2c281">
    <w:name w:val="cs5bec2c281"/>
    <w:basedOn w:val="a0"/>
    <w:rPr>
      <w:rFonts w:ascii="Calibri" w:hAnsi="Calibri" w:cs="Calibri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9d249ccb1">
    <w:name w:val="cs9d249ccb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d4c7bd781">
    <w:name w:val="csd4c7bd781"/>
    <w:basedOn w:val="a0"/>
    <w:rPr>
      <w:rFonts w:ascii="Calibri" w:hAnsi="Calibri" w:cs="Calibri" w:hint="default"/>
      <w:b/>
      <w:bCs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93f6f0eb1">
    <w:name w:val="cs93f6f0eb1"/>
    <w:basedOn w:val="a0"/>
    <w:rPr>
      <w:rFonts w:ascii="Calibri" w:hAnsi="Calibri" w:cs="Calibri" w:hint="default"/>
      <w:b w:val="0"/>
      <w:bCs w:val="0"/>
      <w:i w:val="0"/>
      <w:iCs w:val="0"/>
      <w:color w:val="000000"/>
      <w:sz w:val="23"/>
      <w:szCs w:val="23"/>
      <w:shd w:val="clear" w:color="auto" w:fill="auto"/>
    </w:rPr>
  </w:style>
  <w:style w:type="character" w:customStyle="1" w:styleId="cs6c847bfc1">
    <w:name w:val="cs6c847bfc1"/>
    <w:basedOn w:val="a0"/>
    <w:rPr>
      <w:rFonts w:ascii="Calibri" w:hAnsi="Calibri" w:cs="Calibri" w:hint="default"/>
      <w:b w:val="0"/>
      <w:bCs w:val="0"/>
      <w:i w:val="0"/>
      <w:iCs w:val="0"/>
      <w:color w:val="FF0000"/>
      <w:sz w:val="22"/>
      <w:szCs w:val="22"/>
      <w:shd w:val="clear" w:color="auto" w:fill="auto"/>
    </w:rPr>
  </w:style>
  <w:style w:type="character" w:customStyle="1" w:styleId="cs5519f1861">
    <w:name w:val="cs5519f1861"/>
    <w:basedOn w:val="a0"/>
    <w:rPr>
      <w:rFonts w:ascii="Calibri" w:hAnsi="Calibri" w:cs="Calibri" w:hint="default"/>
      <w:b/>
      <w:bCs/>
      <w:i/>
      <w:iCs/>
      <w:color w:val="000000"/>
      <w:sz w:val="28"/>
      <w:szCs w:val="28"/>
      <w:shd w:val="clear" w:color="auto" w:fill="auto"/>
    </w:rPr>
  </w:style>
  <w:style w:type="character" w:customStyle="1" w:styleId="csc5f534241">
    <w:name w:val="csc5f534241"/>
    <w:basedOn w:val="a0"/>
    <w:rPr>
      <w:rFonts w:ascii="Calibri" w:hAnsi="Calibri" w:cs="Calibri" w:hint="default"/>
      <w:b/>
      <w:bCs/>
      <w:i/>
      <w:iCs/>
      <w:color w:val="000000"/>
      <w:sz w:val="24"/>
      <w:szCs w:val="24"/>
      <w:shd w:val="clear" w:color="auto" w:fill="auto"/>
    </w:rPr>
  </w:style>
  <w:style w:type="character" w:customStyle="1" w:styleId="csae06bbdb1">
    <w:name w:val="csae06bbdb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character" w:customStyle="1" w:styleId="cs41aa85431">
    <w:name w:val="cs41aa85431"/>
    <w:basedOn w:val="a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FFFFFF"/>
    </w:rPr>
  </w:style>
  <w:style w:type="character" w:customStyle="1" w:styleId="cs40178a721">
    <w:name w:val="cs40178a721"/>
    <w:basedOn w:val="a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character" w:customStyle="1" w:styleId="cs1611372c1">
    <w:name w:val="cs1611372c1"/>
    <w:basedOn w:val="a0"/>
    <w:rPr>
      <w:rFonts w:ascii="Calibri" w:hAnsi="Calibri" w:cs="Calibri" w:hint="default"/>
      <w:b/>
      <w:bCs/>
      <w:i/>
      <w:iCs/>
      <w:color w:val="000000"/>
      <w:sz w:val="22"/>
      <w:szCs w:val="22"/>
      <w:shd w:val="clear" w:color="auto" w:fill="auto"/>
    </w:rPr>
  </w:style>
  <w:style w:type="character" w:customStyle="1" w:styleId="cs887c2d5b1">
    <w:name w:val="cs887c2d5b1"/>
    <w:basedOn w:val="a0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393807c91">
    <w:name w:val="cs393807c91"/>
    <w:basedOn w:val="a0"/>
    <w:rPr>
      <w:rFonts w:ascii="Calibri" w:hAnsi="Calibri" w:cs="Calibri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b0850c311">
    <w:name w:val="csb0850c311"/>
    <w:basedOn w:val="a0"/>
    <w:rPr>
      <w:rFonts w:ascii="Calibri" w:hAnsi="Calibri" w:cs="Calibri" w:hint="default"/>
      <w:b w:val="0"/>
      <w:bCs w:val="0"/>
      <w:i w:val="0"/>
      <w:iCs w:val="0"/>
      <w:color w:val="000000"/>
      <w:sz w:val="8"/>
      <w:szCs w:val="8"/>
      <w:shd w:val="clear" w:color="auto" w:fill="auto"/>
    </w:rPr>
  </w:style>
  <w:style w:type="character" w:customStyle="1" w:styleId="cse4c8b37d1">
    <w:name w:val="cse4c8b37d1"/>
    <w:basedOn w:val="a0"/>
    <w:rPr>
      <w:rFonts w:ascii="Calibri" w:hAnsi="Calibri" w:cs="Calibri" w:hint="default"/>
      <w:b/>
      <w:bCs/>
      <w:i/>
      <w:iCs/>
      <w:color w:val="000000"/>
      <w:sz w:val="24"/>
      <w:szCs w:val="24"/>
      <w:shd w:val="clear" w:color="auto" w:fill="FFFFFF"/>
    </w:rPr>
  </w:style>
  <w:style w:type="character" w:customStyle="1" w:styleId="cs524392b71">
    <w:name w:val="cs524392b71"/>
    <w:basedOn w:val="a0"/>
    <w:rPr>
      <w:rFonts w:ascii="Calibri" w:hAnsi="Calibri" w:cs="Calibri" w:hint="default"/>
      <w:b/>
      <w:bCs/>
      <w:i w:val="0"/>
      <w:iCs w:val="0"/>
      <w:color w:val="000000"/>
      <w:sz w:val="22"/>
      <w:szCs w:val="22"/>
      <w:shd w:val="clear" w:color="auto" w:fill="FFFFFF"/>
    </w:rPr>
  </w:style>
  <w:style w:type="character" w:customStyle="1" w:styleId="cs9e3c48e31">
    <w:name w:val="cs9e3c48e31"/>
    <w:basedOn w:val="a0"/>
    <w:rPr>
      <w:rFonts w:ascii="Calibri" w:hAnsi="Calibri" w:cs="Calibri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97ef4e271">
    <w:name w:val="cs97ef4e271"/>
    <w:basedOn w:val="a0"/>
    <w:rPr>
      <w:rFonts w:ascii="Calibri" w:hAnsi="Calibri" w:cs="Calibri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25ad6ec71">
    <w:name w:val="cs25ad6ec71"/>
    <w:basedOn w:val="a0"/>
    <w:rPr>
      <w:rFonts w:ascii="Calibri" w:hAnsi="Calibri" w:cs="Calibri" w:hint="default"/>
      <w:b w:val="0"/>
      <w:bCs w:val="0"/>
      <w:i w:val="0"/>
      <w:iCs w:val="0"/>
      <w:color w:val="000000"/>
      <w:sz w:val="16"/>
      <w:szCs w:val="16"/>
      <w:u w:val="single"/>
      <w:shd w:val="clear" w:color="auto" w:fill="auto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csea27acd71">
    <w:name w:val="csea27acd71"/>
    <w:basedOn w:val="a0"/>
    <w:rPr>
      <w:rFonts w:ascii="Calibri" w:hAnsi="Calibri" w:cs="Calibri" w:hint="default"/>
      <w:b w:val="0"/>
      <w:bCs w:val="0"/>
      <w:i w:val="0"/>
      <w:iCs w:val="0"/>
      <w:color w:val="000000"/>
      <w:sz w:val="12"/>
      <w:szCs w:val="12"/>
      <w:shd w:val="clear" w:color="auto" w:fill="auto"/>
    </w:rPr>
  </w:style>
  <w:style w:type="character" w:customStyle="1" w:styleId="csa7ad800d1">
    <w:name w:val="csa7ad800d1"/>
    <w:basedOn w:val="a0"/>
    <w:rPr>
      <w:rFonts w:ascii="Calibri" w:hAnsi="Calibri" w:cs="Calibri" w:hint="default"/>
      <w:b w:val="0"/>
      <w:bCs w:val="0"/>
      <w:i w:val="0"/>
      <w:iCs w:val="0"/>
      <w:color w:val="0563C1"/>
      <w:sz w:val="16"/>
      <w:szCs w:val="16"/>
      <w:u w:val="single"/>
      <w:shd w:val="clear" w:color="auto" w:fill="auto"/>
    </w:rPr>
  </w:style>
  <w:style w:type="character" w:customStyle="1" w:styleId="csdc89e1731">
    <w:name w:val="csdc89e1731"/>
    <w:basedOn w:val="a0"/>
    <w:rPr>
      <w:rFonts w:ascii="Calibri" w:hAnsi="Calibri" w:cs="Calibri" w:hint="default"/>
      <w:b w:val="0"/>
      <w:bCs w:val="0"/>
      <w:i w:val="0"/>
      <w:iCs w:val="0"/>
      <w:color w:val="0000FF"/>
      <w:sz w:val="16"/>
      <w:szCs w:val="16"/>
      <w:u w:val="single"/>
      <w:shd w:val="clear" w:color="auto" w:fill="auto"/>
    </w:rPr>
  </w:style>
  <w:style w:type="character" w:customStyle="1" w:styleId="cs802755711">
    <w:name w:val="cs802755711"/>
    <w:basedOn w:val="a0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49fd2a611">
    <w:name w:val="cs49fd2a61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  <w:shd w:val="clear" w:color="auto" w:fill="auto"/>
    </w:rPr>
  </w:style>
  <w:style w:type="character" w:customStyle="1" w:styleId="csaeedf97e1">
    <w:name w:val="csaeedf97e1"/>
    <w:basedOn w:val="a0"/>
    <w:rsid w:val="006F1236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sa59501181">
    <w:name w:val="csa59501181"/>
    <w:basedOn w:val="a0"/>
    <w:rsid w:val="006F1236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</w:rPr>
  </w:style>
  <w:style w:type="character" w:styleId="a5">
    <w:name w:val="Intense Emphasis"/>
    <w:basedOn w:val="a0"/>
    <w:uiPriority w:val="21"/>
    <w:qFormat/>
    <w:rsid w:val="00030C1F"/>
    <w:rPr>
      <w:b/>
      <w:bCs/>
      <w:i/>
      <w:iCs/>
      <w:color w:val="5B9BD5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030C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0C1F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csbbe17010">
    <w:name w:val="csbbe17010"/>
    <w:basedOn w:val="a"/>
    <w:pPr>
      <w:spacing w:before="100" w:beforeAutospacing="1" w:after="100" w:afterAutospacing="1"/>
    </w:pPr>
  </w:style>
  <w:style w:type="paragraph" w:customStyle="1" w:styleId="cs1157ffe2">
    <w:name w:val="cs1157ffe2"/>
    <w:basedOn w:val="a"/>
    <w:pPr>
      <w:jc w:val="right"/>
    </w:pPr>
  </w:style>
  <w:style w:type="paragraph" w:customStyle="1" w:styleId="csbf6fa772">
    <w:name w:val="csbf6fa772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cs11b301c0">
    <w:name w:val="cs11b301c0"/>
    <w:basedOn w:val="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cscfdaf666">
    <w:name w:val="cscfdaf666"/>
    <w:basedOn w:val="a"/>
    <w:pPr>
      <w:spacing w:before="100" w:beforeAutospacing="1" w:after="100" w:afterAutospacing="1"/>
      <w:ind w:left="93"/>
    </w:pPr>
  </w:style>
  <w:style w:type="paragraph" w:customStyle="1" w:styleId="csee2ab4fa">
    <w:name w:val="csee2ab4fa"/>
    <w:basedOn w:val="a"/>
    <w:pPr>
      <w:spacing w:before="100" w:beforeAutospacing="1" w:after="100" w:afterAutospacing="1"/>
    </w:pPr>
  </w:style>
  <w:style w:type="paragraph" w:customStyle="1" w:styleId="cs2e86d3a6">
    <w:name w:val="cs2e86d3a6"/>
    <w:basedOn w:val="a"/>
    <w:pPr>
      <w:jc w:val="center"/>
    </w:pPr>
  </w:style>
  <w:style w:type="paragraph" w:customStyle="1" w:styleId="cs1703897e">
    <w:name w:val="cs1703897e"/>
    <w:basedOn w:val="a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cs43bc4257">
    <w:name w:val="cs43bc4257"/>
    <w:basedOn w:val="a"/>
    <w:pPr>
      <w:spacing w:before="100" w:beforeAutospacing="1" w:after="100" w:afterAutospacing="1"/>
    </w:pPr>
  </w:style>
  <w:style w:type="paragraph" w:customStyle="1" w:styleId="cs95e872d0">
    <w:name w:val="cs95e872d0"/>
    <w:basedOn w:val="a"/>
  </w:style>
  <w:style w:type="paragraph" w:customStyle="1" w:styleId="cs8926e06">
    <w:name w:val="cs8926e06"/>
    <w:basedOn w:val="a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csd4c2a85c">
    <w:name w:val="csd4c2a85c"/>
    <w:basedOn w:val="a"/>
    <w:pPr>
      <w:spacing w:before="100" w:beforeAutospacing="1" w:after="100" w:afterAutospacing="1"/>
    </w:pPr>
  </w:style>
  <w:style w:type="paragraph" w:customStyle="1" w:styleId="cs57b35ac2">
    <w:name w:val="cs57b35ac2"/>
    <w:basedOn w:val="a"/>
    <w:pPr>
      <w:spacing w:before="100" w:beforeAutospacing="1" w:after="100" w:afterAutospacing="1"/>
    </w:pPr>
  </w:style>
  <w:style w:type="paragraph" w:customStyle="1" w:styleId="csda59a577">
    <w:name w:val="csda59a577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cc47389a">
    <w:name w:val="cscc47389a"/>
    <w:basedOn w:val="a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cse35a2ca7">
    <w:name w:val="cse35a2ca7"/>
    <w:basedOn w:val="a"/>
    <w:pPr>
      <w:spacing w:before="100" w:beforeAutospacing="1" w:after="100" w:afterAutospacing="1"/>
    </w:pPr>
  </w:style>
  <w:style w:type="paragraph" w:customStyle="1" w:styleId="csbdea95ff">
    <w:name w:val="csbdea95ff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d503890a">
    <w:name w:val="csd503890a"/>
    <w:basedOn w:val="a"/>
    <w:pPr>
      <w:spacing w:before="100" w:beforeAutospacing="1" w:after="100" w:afterAutospacing="1"/>
      <w:jc w:val="right"/>
    </w:pPr>
  </w:style>
  <w:style w:type="paragraph" w:customStyle="1" w:styleId="cs401a5869">
    <w:name w:val="cs401a5869"/>
    <w:basedOn w:val="a"/>
    <w:pPr>
      <w:spacing w:before="100" w:beforeAutospacing="1" w:after="100" w:afterAutospacing="1"/>
    </w:pPr>
    <w:rPr>
      <w:color w:val="000000"/>
      <w:sz w:val="18"/>
      <w:szCs w:val="18"/>
      <w:u w:val="single"/>
    </w:rPr>
  </w:style>
  <w:style w:type="paragraph" w:customStyle="1" w:styleId="cs36b84719">
    <w:name w:val="cs36b84719"/>
    <w:basedOn w:val="a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7fb5c607">
    <w:name w:val="cs7fb5c607"/>
    <w:basedOn w:val="a"/>
    <w:pPr>
      <w:ind w:firstLine="720"/>
      <w:jc w:val="both"/>
    </w:pPr>
  </w:style>
  <w:style w:type="paragraph" w:customStyle="1" w:styleId="cs1b16eeb5">
    <w:name w:val="cs1b16eeb5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csfc41765">
    <w:name w:val="csfc41765"/>
    <w:basedOn w:val="a"/>
    <w:pPr>
      <w:ind w:firstLine="700"/>
      <w:jc w:val="both"/>
    </w:pPr>
  </w:style>
  <w:style w:type="paragraph" w:customStyle="1" w:styleId="csdc4a80">
    <w:name w:val="csdc4a80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cs5bec2c28">
    <w:name w:val="cs5bec2c28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cs9d249ccb">
    <w:name w:val="cs9d249ccb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csc38c7789">
    <w:name w:val="csc38c7789"/>
    <w:basedOn w:val="a"/>
    <w:pPr>
      <w:ind w:firstLine="700"/>
    </w:pPr>
  </w:style>
  <w:style w:type="paragraph" w:customStyle="1" w:styleId="csd4c7bd78">
    <w:name w:val="csd4c7bd78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8"/>
      <w:szCs w:val="28"/>
    </w:rPr>
  </w:style>
  <w:style w:type="paragraph" w:customStyle="1" w:styleId="cs93f6f0eb">
    <w:name w:val="cs93f6f0eb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3"/>
      <w:szCs w:val="23"/>
    </w:rPr>
  </w:style>
  <w:style w:type="paragraph" w:customStyle="1" w:styleId="cs3266721a">
    <w:name w:val="cs3266721a"/>
    <w:basedOn w:val="a"/>
    <w:pPr>
      <w:ind w:firstLine="560"/>
      <w:jc w:val="both"/>
    </w:pPr>
  </w:style>
  <w:style w:type="paragraph" w:customStyle="1" w:styleId="csc67cfa75">
    <w:name w:val="csc67cfa75"/>
    <w:basedOn w:val="a"/>
    <w:pPr>
      <w:ind w:firstLine="720"/>
      <w:jc w:val="center"/>
    </w:pPr>
  </w:style>
  <w:style w:type="paragraph" w:customStyle="1" w:styleId="cs88b29851">
    <w:name w:val="cs88b29851"/>
    <w:basedOn w:val="a"/>
    <w:pPr>
      <w:ind w:firstLine="760"/>
      <w:jc w:val="both"/>
    </w:pPr>
  </w:style>
  <w:style w:type="paragraph" w:customStyle="1" w:styleId="cs6c847bfc">
    <w:name w:val="cs6c847bfc"/>
    <w:basedOn w:val="a"/>
    <w:pPr>
      <w:spacing w:before="100" w:beforeAutospacing="1" w:after="100" w:afterAutospacing="1"/>
    </w:pPr>
    <w:rPr>
      <w:rFonts w:ascii="Calibri" w:hAnsi="Calibri" w:cs="Calibri"/>
      <w:color w:val="FF0000"/>
      <w:sz w:val="22"/>
      <w:szCs w:val="22"/>
    </w:rPr>
  </w:style>
  <w:style w:type="paragraph" w:customStyle="1" w:styleId="cs5519f186">
    <w:name w:val="cs5519f186"/>
    <w:basedOn w:val="a"/>
    <w:pPr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csc5f53424">
    <w:name w:val="csc5f53424"/>
    <w:basedOn w:val="a"/>
    <w:pPr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</w:rPr>
  </w:style>
  <w:style w:type="paragraph" w:customStyle="1" w:styleId="csd728fcc8">
    <w:name w:val="csd728fcc8"/>
    <w:basedOn w:val="a"/>
    <w:pPr>
      <w:spacing w:before="100" w:beforeAutospacing="1" w:after="100" w:afterAutospacing="1"/>
      <w:ind w:left="-147"/>
    </w:pPr>
  </w:style>
  <w:style w:type="paragraph" w:customStyle="1" w:styleId="csc4d4da5d">
    <w:name w:val="csc4d4da5d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d2d898e4">
    <w:name w:val="csd2d898e4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df125c2d">
    <w:name w:val="csdf125c2d"/>
    <w:basedOn w:val="a"/>
    <w:pPr>
      <w:shd w:val="clear" w:color="auto" w:fill="FFFFFF"/>
    </w:pPr>
  </w:style>
  <w:style w:type="paragraph" w:customStyle="1" w:styleId="cs8292e9ae">
    <w:name w:val="cs8292e9ae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7829b6dc">
    <w:name w:val="cs7829b6dc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1b5e8fab">
    <w:name w:val="cs1b5e8fab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6fdb243">
    <w:name w:val="cs6fdb243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9dee07d0">
    <w:name w:val="cs9dee07d0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66db5011">
    <w:name w:val="cs66db5011"/>
    <w:basedOn w:val="a"/>
    <w:pPr>
      <w:ind w:firstLine="700"/>
      <w:jc w:val="center"/>
    </w:pPr>
  </w:style>
  <w:style w:type="paragraph" w:customStyle="1" w:styleId="csd98c70ab">
    <w:name w:val="csd98c70ab"/>
    <w:basedOn w:val="a"/>
    <w:pPr>
      <w:ind w:left="700" w:firstLine="720"/>
      <w:jc w:val="both"/>
    </w:pPr>
  </w:style>
  <w:style w:type="paragraph" w:customStyle="1" w:styleId="csd23326cc">
    <w:name w:val="csd23326cc"/>
    <w:basedOn w:val="a"/>
    <w:pPr>
      <w:ind w:firstLine="1420"/>
      <w:jc w:val="both"/>
    </w:pPr>
  </w:style>
  <w:style w:type="paragraph" w:customStyle="1" w:styleId="csae06bbdb">
    <w:name w:val="csae06bbdb"/>
    <w:basedOn w:val="a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cs5e56cf0a">
    <w:name w:val="cs5e56cf0a"/>
    <w:basedOn w:val="a"/>
    <w:pPr>
      <w:spacing w:after="240"/>
      <w:ind w:firstLine="720"/>
      <w:jc w:val="center"/>
    </w:pPr>
  </w:style>
  <w:style w:type="paragraph" w:customStyle="1" w:styleId="cs41aa8543">
    <w:name w:val="cs41aa8543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cs40178a72">
    <w:name w:val="cs40178a72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cs1611372c">
    <w:name w:val="cs1611372c"/>
    <w:basedOn w:val="a"/>
    <w:pPr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  <w:sz w:val="22"/>
      <w:szCs w:val="22"/>
    </w:rPr>
  </w:style>
  <w:style w:type="paragraph" w:customStyle="1" w:styleId="csfe4d02a1">
    <w:name w:val="csfe4d02a1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887c2d5b">
    <w:name w:val="cs887c2d5b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csf964c622">
    <w:name w:val="csf964c622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95f3f432">
    <w:name w:val="cs95f3f432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7f16e681">
    <w:name w:val="cs7f16e681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587bac6f">
    <w:name w:val="cs587bac6f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27c44d77">
    <w:name w:val="cs27c44d77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fcf1706a">
    <w:name w:val="csfcf1706a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a66d178">
    <w:name w:val="cs6a66d178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82b48371">
    <w:name w:val="cs82b48371"/>
    <w:basedOn w:val="a"/>
    <w:pPr>
      <w:shd w:val="clear" w:color="auto" w:fill="FFFFFF"/>
      <w:jc w:val="center"/>
    </w:pPr>
  </w:style>
  <w:style w:type="paragraph" w:customStyle="1" w:styleId="cs5a47baae">
    <w:name w:val="cs5a47baae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628d9ec7">
    <w:name w:val="cs628d9ec7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c2bcfce">
    <w:name w:val="cs1c2bcfce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4928548">
    <w:name w:val="cs14928548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a069ace3">
    <w:name w:val="csa069ace3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5f94a3a">
    <w:name w:val="cs15f94a3a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393807c9">
    <w:name w:val="cs393807c9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csb0850c31">
    <w:name w:val="csb0850c31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8"/>
      <w:szCs w:val="8"/>
    </w:rPr>
  </w:style>
  <w:style w:type="paragraph" w:customStyle="1" w:styleId="csef169d0f">
    <w:name w:val="csef169d0f"/>
    <w:basedOn w:val="a"/>
    <w:pPr>
      <w:shd w:val="clear" w:color="auto" w:fill="FFFFFF"/>
      <w:jc w:val="both"/>
    </w:pPr>
  </w:style>
  <w:style w:type="paragraph" w:customStyle="1" w:styleId="cseffc2178">
    <w:name w:val="cseffc2178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a7c5ac0d">
    <w:name w:val="csa7c5ac0d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c18af59b">
    <w:name w:val="csc18af59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f0082dd">
    <w:name w:val="csff0082dd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d793d935">
    <w:name w:val="csd793d935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7fdc18d8">
    <w:name w:val="cs7fdc18d8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f031c12">
    <w:name w:val="csff031c12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297468aa">
    <w:name w:val="cs297468aa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9c814bc">
    <w:name w:val="cs69c814bc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c593497b">
    <w:name w:val="csc593497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793dbda6">
    <w:name w:val="cs793dbda6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eeb7c333">
    <w:name w:val="cseeb7c333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1a5d7991">
    <w:name w:val="cs1a5d799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5f48fd36">
    <w:name w:val="cs5f48fd36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e07b354">
    <w:name w:val="csfe07b354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1592fa7f">
    <w:name w:val="cs1592fa7f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3d783932">
    <w:name w:val="cs3d783932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b6023363">
    <w:name w:val="csb6023363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692e02b">
    <w:name w:val="cs6692e02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e4c8b37d">
    <w:name w:val="cse4c8b37d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</w:rPr>
  </w:style>
  <w:style w:type="paragraph" w:customStyle="1" w:styleId="cs524392b7">
    <w:name w:val="cs524392b7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cs80d9435b">
    <w:name w:val="cs80d9435b"/>
    <w:basedOn w:val="a"/>
    <w:pPr>
      <w:jc w:val="both"/>
    </w:pPr>
  </w:style>
  <w:style w:type="paragraph" w:customStyle="1" w:styleId="cs2d06209c">
    <w:name w:val="cs2d06209c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9e3c48e3">
    <w:name w:val="cs9e3c48e3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16"/>
      <w:szCs w:val="16"/>
    </w:rPr>
  </w:style>
  <w:style w:type="paragraph" w:customStyle="1" w:styleId="cs58c50fe5">
    <w:name w:val="cs58c50fe5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2262a908">
    <w:name w:val="cs2262a908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4982d0d">
    <w:name w:val="cs4982d0d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fa644714">
    <w:name w:val="csfa644714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83a5e865">
    <w:name w:val="cs83a5e865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48ead85e">
    <w:name w:val="cs48ead85e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97ef4e27">
    <w:name w:val="cs97ef4e27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csf2138a75">
    <w:name w:val="csf2138a75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c6c25c2d">
    <w:name w:val="csc6c25c2d"/>
    <w:basedOn w:val="a"/>
    <w:pPr>
      <w:shd w:val="clear" w:color="auto" w:fill="EFEFFF"/>
    </w:pPr>
  </w:style>
  <w:style w:type="paragraph" w:customStyle="1" w:styleId="cs25ad6ec7">
    <w:name w:val="cs25ad6ec7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  <w:u w:val="single"/>
    </w:rPr>
  </w:style>
  <w:style w:type="paragraph" w:customStyle="1" w:styleId="cs28db711e">
    <w:name w:val="cs28db711e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c2e97d28">
    <w:name w:val="csc2e97d28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3348c02f">
    <w:name w:val="cs3348c02f"/>
    <w:basedOn w:val="a"/>
    <w:pPr>
      <w:shd w:val="clear" w:color="auto" w:fill="EFEFFF"/>
      <w:jc w:val="right"/>
    </w:pPr>
  </w:style>
  <w:style w:type="paragraph" w:customStyle="1" w:styleId="csbb08424">
    <w:name w:val="csbb08424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7991b025">
    <w:name w:val="cs7991b025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5f2d9df4">
    <w:name w:val="cs5f2d9df4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40b699d0">
    <w:name w:val="cs40b699d0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402cf895">
    <w:name w:val="cs402cf895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772710bf">
    <w:name w:val="cs772710bf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75707674">
    <w:name w:val="cs75707674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d7096657">
    <w:name w:val="csd7096657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9cda9523">
    <w:name w:val="cs9cda9523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bee9f5dd">
    <w:name w:val="csbee9f5dd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48cf2b90">
    <w:name w:val="cs48cf2b90"/>
    <w:basedOn w:val="a"/>
    <w:pPr>
      <w:ind w:firstLine="900"/>
    </w:pPr>
  </w:style>
  <w:style w:type="paragraph" w:customStyle="1" w:styleId="csd52a8d0f">
    <w:name w:val="csd52a8d0f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c76651e3">
    <w:name w:val="csc76651e3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5825bcbd">
    <w:name w:val="cs5825bcbd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2096446f">
    <w:name w:val="cs2096446f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c30a500a">
    <w:name w:val="csc30a500a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e5112b15">
    <w:name w:val="cse5112b15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94bfa29d">
    <w:name w:val="cs94bfa29d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b119629f">
    <w:name w:val="csb119629f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7f27f9d3">
    <w:name w:val="cs7f27f9d3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84d4762d">
    <w:name w:val="cs84d4762d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f7b25925">
    <w:name w:val="csf7b25925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4a7835f0">
    <w:name w:val="cs4a7835f0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13cce483">
    <w:name w:val="cs13cce483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5207513b">
    <w:name w:val="cs5207513b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3553c01f">
    <w:name w:val="cs3553c01f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572cd1f3">
    <w:name w:val="cs572cd1f3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d91c81a9">
    <w:name w:val="csd91c81a9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de91bbd2">
    <w:name w:val="csde91bbd2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ea27acd7">
    <w:name w:val="csea27acd7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12"/>
      <w:szCs w:val="12"/>
    </w:rPr>
  </w:style>
  <w:style w:type="paragraph" w:customStyle="1" w:styleId="cs485757e0">
    <w:name w:val="cs485757e0"/>
    <w:basedOn w:val="a"/>
    <w:pPr>
      <w:ind w:firstLine="900"/>
      <w:jc w:val="both"/>
    </w:pPr>
  </w:style>
  <w:style w:type="paragraph" w:customStyle="1" w:styleId="cs80b925e6">
    <w:name w:val="cs80b925e6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c7d68371">
    <w:name w:val="csc7d68371"/>
    <w:basedOn w:val="a"/>
    <w:pPr>
      <w:shd w:val="clear" w:color="auto" w:fill="EFEFFF"/>
      <w:jc w:val="center"/>
    </w:pPr>
  </w:style>
  <w:style w:type="paragraph" w:customStyle="1" w:styleId="csb59b11bf">
    <w:name w:val="csb59b11bf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36146988">
    <w:name w:val="cs36146988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a7ad800d">
    <w:name w:val="csa7ad800d"/>
    <w:basedOn w:val="a"/>
    <w:pPr>
      <w:spacing w:before="100" w:beforeAutospacing="1" w:after="100" w:afterAutospacing="1"/>
    </w:pPr>
    <w:rPr>
      <w:rFonts w:ascii="Calibri" w:hAnsi="Calibri" w:cs="Calibri"/>
      <w:color w:val="0563C1"/>
      <w:sz w:val="16"/>
      <w:szCs w:val="16"/>
      <w:u w:val="single"/>
    </w:rPr>
  </w:style>
  <w:style w:type="paragraph" w:customStyle="1" w:styleId="cs3c136324">
    <w:name w:val="cs3c136324"/>
    <w:basedOn w:val="a"/>
    <w:pPr>
      <w:pBdr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dc89e173">
    <w:name w:val="csdc89e173"/>
    <w:basedOn w:val="a"/>
    <w:pPr>
      <w:spacing w:before="100" w:beforeAutospacing="1" w:after="100" w:afterAutospacing="1"/>
    </w:pPr>
    <w:rPr>
      <w:rFonts w:ascii="Calibri" w:hAnsi="Calibri" w:cs="Calibri"/>
      <w:color w:val="0000FF"/>
      <w:sz w:val="16"/>
      <w:szCs w:val="16"/>
      <w:u w:val="single"/>
    </w:rPr>
  </w:style>
  <w:style w:type="paragraph" w:customStyle="1" w:styleId="csaa8d31cf">
    <w:name w:val="csaa8d31cf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b60f3478">
    <w:name w:val="csb60f3478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80275571">
    <w:name w:val="cs80275571"/>
    <w:basedOn w:val="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csbdf236">
    <w:name w:val="csbdf236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d1e39e2c">
    <w:name w:val="csd1e39e2c"/>
    <w:basedOn w:val="a"/>
    <w:pPr>
      <w:pBdr>
        <w:top w:val="single" w:sz="8" w:space="0" w:color="808080"/>
      </w:pBdr>
      <w:spacing w:before="100" w:beforeAutospacing="1" w:after="100" w:afterAutospacing="1"/>
    </w:pPr>
  </w:style>
  <w:style w:type="paragraph" w:customStyle="1" w:styleId="cs73948854">
    <w:name w:val="cs73948854"/>
    <w:basedOn w:val="a"/>
    <w:pPr>
      <w:pBdr>
        <w:top w:val="single" w:sz="8" w:space="0" w:color="808080"/>
        <w:right w:val="single" w:sz="8" w:space="5" w:color="808080"/>
      </w:pBdr>
      <w:spacing w:before="100" w:beforeAutospacing="1" w:after="100" w:afterAutospacing="1"/>
    </w:pPr>
  </w:style>
  <w:style w:type="paragraph" w:customStyle="1" w:styleId="cs8aa0bd54">
    <w:name w:val="cs8aa0bd54"/>
    <w:basedOn w:val="a"/>
    <w:pPr>
      <w:pBdr>
        <w:left w:val="single" w:sz="8" w:space="5" w:color="80808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de0731bd">
    <w:name w:val="csde0731bd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ecadd67">
    <w:name w:val="csecadd67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5d7c8d72">
    <w:name w:val="cs5d7c8d72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319c176e">
    <w:name w:val="cs319c176e"/>
    <w:basedOn w:val="a"/>
    <w:pPr>
      <w:pBdr>
        <w:top w:val="single" w:sz="8" w:space="0" w:color="80808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ce3109e0">
    <w:name w:val="csce3109e0"/>
    <w:basedOn w:val="a"/>
    <w:pPr>
      <w:pBdr>
        <w:top w:val="single" w:sz="8" w:space="0" w:color="808080"/>
        <w:bottom w:val="single" w:sz="8" w:space="0" w:color="00000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1d89b04e">
    <w:name w:val="cs1d89b04e"/>
    <w:basedOn w:val="a"/>
    <w:pPr>
      <w:pBdr>
        <w:top w:val="single" w:sz="8" w:space="0" w:color="808080"/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cd3f127b">
    <w:name w:val="cscd3f127b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e10737de">
    <w:name w:val="cse10737de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1255ce37">
    <w:name w:val="cs1255ce37"/>
    <w:basedOn w:val="a"/>
    <w:pPr>
      <w:pBdr>
        <w:top w:val="single" w:sz="8" w:space="0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2eb6e56f">
    <w:name w:val="cs2eb6e56f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b6d9a87b">
    <w:name w:val="csb6d9a87b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ed4f3f0d">
    <w:name w:val="csed4f3f0d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efb023b2">
    <w:name w:val="csefb023b2"/>
    <w:basedOn w:val="a"/>
    <w:pPr>
      <w:pBdr>
        <w:bottom w:val="single" w:sz="8" w:space="0" w:color="808080"/>
        <w:right w:val="single" w:sz="8" w:space="5" w:color="808080"/>
      </w:pBdr>
      <w:shd w:val="clear" w:color="auto" w:fill="EFEFFF"/>
      <w:spacing w:before="100" w:beforeAutospacing="1" w:after="100" w:afterAutospacing="1"/>
    </w:pPr>
  </w:style>
  <w:style w:type="paragraph" w:customStyle="1" w:styleId="csf0b8d472">
    <w:name w:val="csf0b8d472"/>
    <w:basedOn w:val="a"/>
    <w:pPr>
      <w:pBdr>
        <w:left w:val="single" w:sz="8" w:space="5" w:color="808080"/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3cac91aa">
    <w:name w:val="cs3cac91aa"/>
    <w:basedOn w:val="a"/>
    <w:pPr>
      <w:pBdr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97c1239d">
    <w:name w:val="cs97c1239d"/>
    <w:basedOn w:val="a"/>
    <w:pPr>
      <w:pBdr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b27b7420">
    <w:name w:val="csb27b7420"/>
    <w:basedOn w:val="a"/>
    <w:pPr>
      <w:pBdr>
        <w:bottom w:val="single" w:sz="8" w:space="0" w:color="808080"/>
        <w:right w:val="single" w:sz="8" w:space="5" w:color="808080"/>
      </w:pBdr>
      <w:shd w:val="clear" w:color="auto" w:fill="FFFFFF"/>
      <w:spacing w:before="100" w:beforeAutospacing="1" w:after="100" w:afterAutospacing="1"/>
    </w:pPr>
  </w:style>
  <w:style w:type="paragraph" w:customStyle="1" w:styleId="csb57c9a99">
    <w:name w:val="csb57c9a99"/>
    <w:basedOn w:val="a"/>
    <w:pPr>
      <w:shd w:val="clear" w:color="auto" w:fill="FFFFFF"/>
      <w:jc w:val="right"/>
    </w:pPr>
  </w:style>
  <w:style w:type="paragraph" w:customStyle="1" w:styleId="cs4b208470">
    <w:name w:val="cs4b208470"/>
    <w:basedOn w:val="a"/>
    <w:pPr>
      <w:spacing w:before="100" w:beforeAutospacing="1" w:after="100" w:afterAutospacing="1"/>
      <w:ind w:left="96"/>
    </w:pPr>
  </w:style>
  <w:style w:type="paragraph" w:customStyle="1" w:styleId="cs1de315fb">
    <w:name w:val="cs1de315fb"/>
    <w:basedOn w:val="a"/>
    <w:pPr>
      <w:spacing w:before="100" w:beforeAutospacing="1" w:after="100" w:afterAutospacing="1"/>
    </w:pPr>
  </w:style>
  <w:style w:type="paragraph" w:customStyle="1" w:styleId="cs3dcdd91d">
    <w:name w:val="cs3dcdd91d"/>
    <w:basedOn w:val="a"/>
    <w:pPr>
      <w:spacing w:before="100" w:beforeAutospacing="1" w:after="100" w:afterAutospacing="1"/>
    </w:pPr>
  </w:style>
  <w:style w:type="paragraph" w:customStyle="1" w:styleId="cs49fd2a61">
    <w:name w:val="cs49fd2a61"/>
    <w:basedOn w:val="a"/>
    <w:pPr>
      <w:spacing w:before="100" w:beforeAutospacing="1" w:after="100" w:afterAutospacing="1"/>
    </w:pPr>
    <w:rPr>
      <w:color w:val="000000"/>
      <w:sz w:val="20"/>
      <w:szCs w:val="20"/>
      <w:u w:val="single"/>
    </w:rPr>
  </w:style>
  <w:style w:type="character" w:customStyle="1" w:styleId="csbf6fa7721">
    <w:name w:val="csbf6fa772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11b301c01">
    <w:name w:val="cs11b301c01"/>
    <w:basedOn w:val="a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  <w:shd w:val="clear" w:color="auto" w:fill="auto"/>
    </w:rPr>
  </w:style>
  <w:style w:type="character" w:customStyle="1" w:styleId="cs1703897e1">
    <w:name w:val="cs1703897e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8926e061">
    <w:name w:val="cs8926e061"/>
    <w:basedOn w:val="a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cc47389a1">
    <w:name w:val="cscc47389a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  <w:shd w:val="clear" w:color="auto" w:fill="auto"/>
    </w:rPr>
  </w:style>
  <w:style w:type="character" w:customStyle="1" w:styleId="cs401a58691">
    <w:name w:val="cs401a5869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  <w:u w:val="single"/>
      <w:shd w:val="clear" w:color="auto" w:fill="auto"/>
    </w:rPr>
  </w:style>
  <w:style w:type="character" w:customStyle="1" w:styleId="cs1b16eeb51">
    <w:name w:val="cs1b16eeb51"/>
    <w:basedOn w:val="a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dc4a801">
    <w:name w:val="csdc4a801"/>
    <w:basedOn w:val="a0"/>
    <w:rPr>
      <w:rFonts w:ascii="Calibri" w:hAnsi="Calibri" w:cs="Calibri" w:hint="default"/>
      <w:b/>
      <w:bCs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5bec2c281">
    <w:name w:val="cs5bec2c281"/>
    <w:basedOn w:val="a0"/>
    <w:rPr>
      <w:rFonts w:ascii="Calibri" w:hAnsi="Calibri" w:cs="Calibri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9d249ccb1">
    <w:name w:val="cs9d249ccb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d4c7bd781">
    <w:name w:val="csd4c7bd781"/>
    <w:basedOn w:val="a0"/>
    <w:rPr>
      <w:rFonts w:ascii="Calibri" w:hAnsi="Calibri" w:cs="Calibri" w:hint="default"/>
      <w:b/>
      <w:bCs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93f6f0eb1">
    <w:name w:val="cs93f6f0eb1"/>
    <w:basedOn w:val="a0"/>
    <w:rPr>
      <w:rFonts w:ascii="Calibri" w:hAnsi="Calibri" w:cs="Calibri" w:hint="default"/>
      <w:b w:val="0"/>
      <w:bCs w:val="0"/>
      <w:i w:val="0"/>
      <w:iCs w:val="0"/>
      <w:color w:val="000000"/>
      <w:sz w:val="23"/>
      <w:szCs w:val="23"/>
      <w:shd w:val="clear" w:color="auto" w:fill="auto"/>
    </w:rPr>
  </w:style>
  <w:style w:type="character" w:customStyle="1" w:styleId="cs6c847bfc1">
    <w:name w:val="cs6c847bfc1"/>
    <w:basedOn w:val="a0"/>
    <w:rPr>
      <w:rFonts w:ascii="Calibri" w:hAnsi="Calibri" w:cs="Calibri" w:hint="default"/>
      <w:b w:val="0"/>
      <w:bCs w:val="0"/>
      <w:i w:val="0"/>
      <w:iCs w:val="0"/>
      <w:color w:val="FF0000"/>
      <w:sz w:val="22"/>
      <w:szCs w:val="22"/>
      <w:shd w:val="clear" w:color="auto" w:fill="auto"/>
    </w:rPr>
  </w:style>
  <w:style w:type="character" w:customStyle="1" w:styleId="cs5519f1861">
    <w:name w:val="cs5519f1861"/>
    <w:basedOn w:val="a0"/>
    <w:rPr>
      <w:rFonts w:ascii="Calibri" w:hAnsi="Calibri" w:cs="Calibri" w:hint="default"/>
      <w:b/>
      <w:bCs/>
      <w:i/>
      <w:iCs/>
      <w:color w:val="000000"/>
      <w:sz w:val="28"/>
      <w:szCs w:val="28"/>
      <w:shd w:val="clear" w:color="auto" w:fill="auto"/>
    </w:rPr>
  </w:style>
  <w:style w:type="character" w:customStyle="1" w:styleId="csc5f534241">
    <w:name w:val="csc5f534241"/>
    <w:basedOn w:val="a0"/>
    <w:rPr>
      <w:rFonts w:ascii="Calibri" w:hAnsi="Calibri" w:cs="Calibri" w:hint="default"/>
      <w:b/>
      <w:bCs/>
      <w:i/>
      <w:iCs/>
      <w:color w:val="000000"/>
      <w:sz w:val="24"/>
      <w:szCs w:val="24"/>
      <w:shd w:val="clear" w:color="auto" w:fill="auto"/>
    </w:rPr>
  </w:style>
  <w:style w:type="character" w:customStyle="1" w:styleId="csae06bbdb1">
    <w:name w:val="csae06bbdb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character" w:customStyle="1" w:styleId="cs41aa85431">
    <w:name w:val="cs41aa85431"/>
    <w:basedOn w:val="a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FFFFFF"/>
    </w:rPr>
  </w:style>
  <w:style w:type="character" w:customStyle="1" w:styleId="cs40178a721">
    <w:name w:val="cs40178a721"/>
    <w:basedOn w:val="a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character" w:customStyle="1" w:styleId="cs1611372c1">
    <w:name w:val="cs1611372c1"/>
    <w:basedOn w:val="a0"/>
    <w:rPr>
      <w:rFonts w:ascii="Calibri" w:hAnsi="Calibri" w:cs="Calibri" w:hint="default"/>
      <w:b/>
      <w:bCs/>
      <w:i/>
      <w:iCs/>
      <w:color w:val="000000"/>
      <w:sz w:val="22"/>
      <w:szCs w:val="22"/>
      <w:shd w:val="clear" w:color="auto" w:fill="auto"/>
    </w:rPr>
  </w:style>
  <w:style w:type="character" w:customStyle="1" w:styleId="cs887c2d5b1">
    <w:name w:val="cs887c2d5b1"/>
    <w:basedOn w:val="a0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393807c91">
    <w:name w:val="cs393807c91"/>
    <w:basedOn w:val="a0"/>
    <w:rPr>
      <w:rFonts w:ascii="Calibri" w:hAnsi="Calibri" w:cs="Calibri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b0850c311">
    <w:name w:val="csb0850c311"/>
    <w:basedOn w:val="a0"/>
    <w:rPr>
      <w:rFonts w:ascii="Calibri" w:hAnsi="Calibri" w:cs="Calibri" w:hint="default"/>
      <w:b w:val="0"/>
      <w:bCs w:val="0"/>
      <w:i w:val="0"/>
      <w:iCs w:val="0"/>
      <w:color w:val="000000"/>
      <w:sz w:val="8"/>
      <w:szCs w:val="8"/>
      <w:shd w:val="clear" w:color="auto" w:fill="auto"/>
    </w:rPr>
  </w:style>
  <w:style w:type="character" w:customStyle="1" w:styleId="cse4c8b37d1">
    <w:name w:val="cse4c8b37d1"/>
    <w:basedOn w:val="a0"/>
    <w:rPr>
      <w:rFonts w:ascii="Calibri" w:hAnsi="Calibri" w:cs="Calibri" w:hint="default"/>
      <w:b/>
      <w:bCs/>
      <w:i/>
      <w:iCs/>
      <w:color w:val="000000"/>
      <w:sz w:val="24"/>
      <w:szCs w:val="24"/>
      <w:shd w:val="clear" w:color="auto" w:fill="FFFFFF"/>
    </w:rPr>
  </w:style>
  <w:style w:type="character" w:customStyle="1" w:styleId="cs524392b71">
    <w:name w:val="cs524392b71"/>
    <w:basedOn w:val="a0"/>
    <w:rPr>
      <w:rFonts w:ascii="Calibri" w:hAnsi="Calibri" w:cs="Calibri" w:hint="default"/>
      <w:b/>
      <w:bCs/>
      <w:i w:val="0"/>
      <w:iCs w:val="0"/>
      <w:color w:val="000000"/>
      <w:sz w:val="22"/>
      <w:szCs w:val="22"/>
      <w:shd w:val="clear" w:color="auto" w:fill="FFFFFF"/>
    </w:rPr>
  </w:style>
  <w:style w:type="character" w:customStyle="1" w:styleId="cs9e3c48e31">
    <w:name w:val="cs9e3c48e31"/>
    <w:basedOn w:val="a0"/>
    <w:rPr>
      <w:rFonts w:ascii="Calibri" w:hAnsi="Calibri" w:cs="Calibri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97ef4e271">
    <w:name w:val="cs97ef4e271"/>
    <w:basedOn w:val="a0"/>
    <w:rPr>
      <w:rFonts w:ascii="Calibri" w:hAnsi="Calibri" w:cs="Calibri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25ad6ec71">
    <w:name w:val="cs25ad6ec71"/>
    <w:basedOn w:val="a0"/>
    <w:rPr>
      <w:rFonts w:ascii="Calibri" w:hAnsi="Calibri" w:cs="Calibri" w:hint="default"/>
      <w:b w:val="0"/>
      <w:bCs w:val="0"/>
      <w:i w:val="0"/>
      <w:iCs w:val="0"/>
      <w:color w:val="000000"/>
      <w:sz w:val="16"/>
      <w:szCs w:val="16"/>
      <w:u w:val="single"/>
      <w:shd w:val="clear" w:color="auto" w:fill="auto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csea27acd71">
    <w:name w:val="csea27acd71"/>
    <w:basedOn w:val="a0"/>
    <w:rPr>
      <w:rFonts w:ascii="Calibri" w:hAnsi="Calibri" w:cs="Calibri" w:hint="default"/>
      <w:b w:val="0"/>
      <w:bCs w:val="0"/>
      <w:i w:val="0"/>
      <w:iCs w:val="0"/>
      <w:color w:val="000000"/>
      <w:sz w:val="12"/>
      <w:szCs w:val="12"/>
      <w:shd w:val="clear" w:color="auto" w:fill="auto"/>
    </w:rPr>
  </w:style>
  <w:style w:type="character" w:customStyle="1" w:styleId="csa7ad800d1">
    <w:name w:val="csa7ad800d1"/>
    <w:basedOn w:val="a0"/>
    <w:rPr>
      <w:rFonts w:ascii="Calibri" w:hAnsi="Calibri" w:cs="Calibri" w:hint="default"/>
      <w:b w:val="0"/>
      <w:bCs w:val="0"/>
      <w:i w:val="0"/>
      <w:iCs w:val="0"/>
      <w:color w:val="0563C1"/>
      <w:sz w:val="16"/>
      <w:szCs w:val="16"/>
      <w:u w:val="single"/>
      <w:shd w:val="clear" w:color="auto" w:fill="auto"/>
    </w:rPr>
  </w:style>
  <w:style w:type="character" w:customStyle="1" w:styleId="csdc89e1731">
    <w:name w:val="csdc89e1731"/>
    <w:basedOn w:val="a0"/>
    <w:rPr>
      <w:rFonts w:ascii="Calibri" w:hAnsi="Calibri" w:cs="Calibri" w:hint="default"/>
      <w:b w:val="0"/>
      <w:bCs w:val="0"/>
      <w:i w:val="0"/>
      <w:iCs w:val="0"/>
      <w:color w:val="0000FF"/>
      <w:sz w:val="16"/>
      <w:szCs w:val="16"/>
      <w:u w:val="single"/>
      <w:shd w:val="clear" w:color="auto" w:fill="auto"/>
    </w:rPr>
  </w:style>
  <w:style w:type="character" w:customStyle="1" w:styleId="cs802755711">
    <w:name w:val="cs802755711"/>
    <w:basedOn w:val="a0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49fd2a611">
    <w:name w:val="cs49fd2a61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  <w:shd w:val="clear" w:color="auto" w:fill="auto"/>
    </w:rPr>
  </w:style>
  <w:style w:type="character" w:customStyle="1" w:styleId="csaeedf97e1">
    <w:name w:val="csaeedf97e1"/>
    <w:basedOn w:val="a0"/>
    <w:rsid w:val="006F1236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sa59501181">
    <w:name w:val="csa59501181"/>
    <w:basedOn w:val="a0"/>
    <w:rsid w:val="006F1236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</w:rPr>
  </w:style>
  <w:style w:type="character" w:styleId="a5">
    <w:name w:val="Intense Emphasis"/>
    <w:basedOn w:val="a0"/>
    <w:uiPriority w:val="21"/>
    <w:qFormat/>
    <w:rsid w:val="00030C1F"/>
    <w:rPr>
      <w:b/>
      <w:bCs/>
      <w:i/>
      <w:iCs/>
      <w:color w:val="5B9BD5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030C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0C1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9407</Words>
  <Characters>59044</Characters>
  <Application>Microsoft Office Word</Application>
  <DocSecurity>0</DocSecurity>
  <Lines>492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68315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Елпашева Мария Александровна</cp:lastModifiedBy>
  <cp:revision>6</cp:revision>
  <cp:lastPrinted>2018-11-07T11:08:00Z</cp:lastPrinted>
  <dcterms:created xsi:type="dcterms:W3CDTF">2018-10-31T04:09:00Z</dcterms:created>
  <dcterms:modified xsi:type="dcterms:W3CDTF">2018-11-07T11:11:00Z</dcterms:modified>
</cp:coreProperties>
</file>